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FB1C" w14:textId="77777777" w:rsidR="0074544F" w:rsidRPr="00EE1920" w:rsidRDefault="0074544F" w:rsidP="0074544F">
      <w:pPr>
        <w:suppressAutoHyphens/>
        <w:jc w:val="center"/>
        <w:rPr>
          <w:rFonts w:ascii="Arial" w:hAnsi="Arial" w:cs="Arial"/>
          <w:b/>
          <w:sz w:val="28"/>
          <w:szCs w:val="28"/>
        </w:rPr>
      </w:pPr>
      <w:r>
        <w:rPr>
          <w:rFonts w:ascii="Arial" w:hAnsi="Arial" w:cs="Arial"/>
          <w:b/>
          <w:sz w:val="28"/>
          <w:szCs w:val="28"/>
        </w:rPr>
        <w:t>TERMS OF REFERENCE</w:t>
      </w:r>
      <w:r w:rsidRPr="00EE1920">
        <w:rPr>
          <w:rFonts w:ascii="Arial" w:hAnsi="Arial" w:cs="Arial"/>
          <w:b/>
          <w:sz w:val="28"/>
          <w:szCs w:val="28"/>
        </w:rPr>
        <w:t xml:space="preserve"> FOR </w:t>
      </w:r>
      <w:r>
        <w:rPr>
          <w:rFonts w:ascii="Arial" w:hAnsi="Arial" w:cs="Arial"/>
          <w:b/>
          <w:sz w:val="28"/>
          <w:szCs w:val="28"/>
        </w:rPr>
        <w:t>INDIVIDUAL CONSULTANT</w:t>
      </w:r>
    </w:p>
    <w:p w14:paraId="1F8409B6" w14:textId="77777777" w:rsidR="0074544F" w:rsidRDefault="0074544F" w:rsidP="0074544F">
      <w:pPr>
        <w:suppressAutoHyphens/>
        <w:jc w:val="center"/>
        <w:rPr>
          <w:rFonts w:ascii="Arial" w:hAnsi="Arial" w:cs="Arial"/>
          <w:b/>
          <w:sz w:val="16"/>
          <w:szCs w:val="16"/>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74544F" w:rsidRPr="00725E73" w14:paraId="5978F8AC" w14:textId="77777777" w:rsidTr="00A3024A">
        <w:trPr>
          <w:trHeight w:val="342"/>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14:paraId="277548DC" w14:textId="0DED2D78" w:rsidR="0074544F" w:rsidRPr="00A3024A" w:rsidRDefault="00A3024A" w:rsidP="00A3024A">
            <w:pPr>
              <w:rPr>
                <w:rFonts w:asciiTheme="minorBidi" w:hAnsiTheme="minorBidi" w:cstheme="minorBidi"/>
                <w:b/>
                <w:bCs/>
                <w:sz w:val="22"/>
                <w:szCs w:val="22"/>
                <w:lang w:val="en-US"/>
              </w:rPr>
            </w:pPr>
            <w:r w:rsidRPr="00A3024A">
              <w:rPr>
                <w:rFonts w:asciiTheme="minorBidi" w:hAnsiTheme="minorBidi" w:cstheme="minorBidi"/>
                <w:b/>
                <w:bCs/>
              </w:rPr>
              <w:t>Consultant to Develop Situation Analysis on SOGIESC/ LGBTIQ+ people in Lebanon</w:t>
            </w:r>
          </w:p>
        </w:tc>
      </w:tr>
      <w:tr w:rsidR="0074544F" w:rsidRPr="00725E73" w14:paraId="2336441A" w14:textId="77777777" w:rsidTr="0083697E">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10E8D164"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Hiring Office:</w:t>
            </w:r>
          </w:p>
        </w:tc>
        <w:tc>
          <w:tcPr>
            <w:tcW w:w="7710" w:type="dxa"/>
            <w:tcBorders>
              <w:top w:val="single" w:sz="6" w:space="0" w:color="auto"/>
              <w:left w:val="single" w:sz="6" w:space="0" w:color="auto"/>
              <w:bottom w:val="single" w:sz="4" w:space="0" w:color="auto"/>
              <w:right w:val="double" w:sz="6" w:space="0" w:color="auto"/>
            </w:tcBorders>
            <w:shd w:val="clear" w:color="auto" w:fill="auto"/>
          </w:tcPr>
          <w:p w14:paraId="4EB59E87" w14:textId="77777777" w:rsidR="0074544F" w:rsidRPr="00725E73" w:rsidRDefault="0074544F" w:rsidP="0083697E">
            <w:pPr>
              <w:tabs>
                <w:tab w:val="left" w:pos="-720"/>
              </w:tabs>
              <w:suppressAutoHyphens/>
              <w:spacing w:before="40" w:after="54"/>
              <w:rPr>
                <w:rFonts w:ascii="Arial" w:hAnsi="Arial" w:cs="Arial"/>
                <w:sz w:val="20"/>
                <w:szCs w:val="20"/>
                <w:lang w:val="en-US"/>
              </w:rPr>
            </w:pPr>
            <w:r w:rsidRPr="00725E73">
              <w:rPr>
                <w:rFonts w:ascii="Arial" w:hAnsi="Arial" w:cs="Arial"/>
                <w:sz w:val="20"/>
                <w:szCs w:val="20"/>
                <w:lang w:val="en-US"/>
              </w:rPr>
              <w:t>Lebanon Country Office</w:t>
            </w:r>
          </w:p>
          <w:p w14:paraId="288F7989" w14:textId="77777777" w:rsidR="0074544F" w:rsidRPr="00725E73" w:rsidRDefault="0074544F" w:rsidP="0083697E">
            <w:pPr>
              <w:tabs>
                <w:tab w:val="left" w:pos="-720"/>
              </w:tabs>
              <w:suppressAutoHyphens/>
              <w:spacing w:before="40" w:after="54"/>
              <w:rPr>
                <w:rFonts w:ascii="Arial" w:hAnsi="Arial" w:cs="Arial"/>
                <w:sz w:val="20"/>
                <w:szCs w:val="20"/>
                <w:lang w:val="en-US"/>
              </w:rPr>
            </w:pPr>
          </w:p>
        </w:tc>
      </w:tr>
      <w:tr w:rsidR="0074544F" w:rsidRPr="00725E73" w14:paraId="7DD96AB6"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3DF7049"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Purpose of consultancy:</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89D4677" w14:textId="5917F6DD" w:rsidR="0074544F" w:rsidRPr="00725E73" w:rsidRDefault="0074544F" w:rsidP="0074544F">
            <w:pPr>
              <w:rPr>
                <w:rFonts w:asciiTheme="minorBidi" w:hAnsiTheme="minorBidi" w:cstheme="minorBidi"/>
                <w:sz w:val="20"/>
                <w:szCs w:val="20"/>
              </w:rPr>
            </w:pPr>
            <w:r w:rsidRPr="00725E73">
              <w:rPr>
                <w:rFonts w:asciiTheme="minorBidi" w:hAnsiTheme="minorBidi" w:cstheme="minorBidi"/>
                <w:sz w:val="20"/>
                <w:szCs w:val="20"/>
              </w:rPr>
              <w:t xml:space="preserve">The overall objective of the assignment is to provide both overall analysis and stakeholder mapping that will support the establishment of the LGBTIQ+ Task-Force and inform its strategic planning for 2022, and forthcoming. </w:t>
            </w:r>
          </w:p>
          <w:p w14:paraId="076654B4" w14:textId="7BCC3DC0" w:rsidR="00AF5D99" w:rsidRPr="00725E73" w:rsidRDefault="00AF5D99" w:rsidP="0074544F">
            <w:pPr>
              <w:rPr>
                <w:rFonts w:asciiTheme="minorBidi" w:hAnsiTheme="minorBidi" w:cstheme="minorBidi"/>
                <w:sz w:val="20"/>
                <w:szCs w:val="20"/>
              </w:rPr>
            </w:pPr>
          </w:p>
          <w:p w14:paraId="0570800C" w14:textId="4996A561" w:rsidR="00AF5D99" w:rsidRPr="00725E73" w:rsidRDefault="00AF5D99" w:rsidP="00AF5D99">
            <w:pPr>
              <w:pStyle w:val="NormalWeb"/>
              <w:spacing w:after="160"/>
              <w:jc w:val="both"/>
              <w:rPr>
                <w:rFonts w:asciiTheme="minorBidi" w:hAnsiTheme="minorBidi" w:cstheme="minorBidi"/>
                <w:sz w:val="20"/>
                <w:szCs w:val="20"/>
                <w:lang w:val="en-US"/>
              </w:rPr>
            </w:pPr>
            <w:r w:rsidRPr="00725E73">
              <w:rPr>
                <w:rFonts w:asciiTheme="minorBidi" w:hAnsiTheme="minorBidi" w:cstheme="minorBidi"/>
                <w:color w:val="000000"/>
                <w:sz w:val="20"/>
                <w:szCs w:val="20"/>
                <w:lang w:val="en-US"/>
              </w:rPr>
              <w:t xml:space="preserve">Lebanon is facing an unprecedented multidimensional political, economic, social, and security crisis. All these factors aggravated the vulnerabilities of people of diverse </w:t>
            </w:r>
            <w:r w:rsidRPr="00725E73">
              <w:rPr>
                <w:rFonts w:asciiTheme="minorBidi" w:hAnsiTheme="minorBidi" w:cstheme="minorBidi"/>
                <w:sz w:val="20"/>
                <w:szCs w:val="20"/>
                <w:lang w:val="en-US"/>
              </w:rPr>
              <w:t>sexual orientation, gender identity, gender expression, sex characteristics (SOGIESC)</w:t>
            </w:r>
            <w:r w:rsidRPr="00725E73">
              <w:rPr>
                <w:rFonts w:asciiTheme="minorBidi" w:hAnsiTheme="minorBidi" w:cstheme="minorBidi"/>
                <w:sz w:val="20"/>
                <w:szCs w:val="20"/>
                <w:vertAlign w:val="superscript"/>
                <w:lang w:val="en-US"/>
              </w:rPr>
              <w:footnoteReference w:id="1"/>
            </w:r>
            <w:r w:rsidRPr="00725E73">
              <w:rPr>
                <w:rFonts w:asciiTheme="minorBidi" w:hAnsiTheme="minorBidi" w:cstheme="minorBidi"/>
                <w:sz w:val="20"/>
                <w:szCs w:val="20"/>
                <w:lang w:val="en-US"/>
              </w:rPr>
              <w:t xml:space="preserve"> </w:t>
            </w:r>
            <w:r w:rsidRPr="00725E73">
              <w:rPr>
                <w:rFonts w:asciiTheme="minorBidi" w:hAnsiTheme="minorBidi" w:cstheme="minorBidi"/>
                <w:color w:val="000000"/>
                <w:sz w:val="20"/>
                <w:szCs w:val="20"/>
                <w:lang w:val="en-US"/>
              </w:rPr>
              <w:t>in Lebanon.</w:t>
            </w:r>
            <w:r w:rsidRPr="00725E73">
              <w:rPr>
                <w:rFonts w:asciiTheme="minorBidi" w:hAnsiTheme="minorBidi" w:cstheme="minorBidi"/>
                <w:color w:val="000000"/>
                <w:sz w:val="20"/>
                <w:szCs w:val="20"/>
                <w:vertAlign w:val="superscript"/>
                <w:lang w:val="en-US"/>
              </w:rPr>
              <w:footnoteReference w:id="2"/>
            </w:r>
            <w:r w:rsidRPr="00725E73">
              <w:rPr>
                <w:rFonts w:asciiTheme="minorBidi" w:hAnsiTheme="minorBidi" w:cstheme="minorBidi"/>
                <w:color w:val="000000"/>
                <w:sz w:val="20"/>
                <w:szCs w:val="20"/>
                <w:lang w:val="en-US"/>
              </w:rPr>
              <w:t xml:space="preserve"> People of diverse SOGIESC in Lebanon are among the most marginalized population/ groups in Lebanon, facing multi-layered structural discrimination and violence.</w:t>
            </w:r>
          </w:p>
          <w:p w14:paraId="049E180C" w14:textId="77777777" w:rsidR="0096725D" w:rsidRPr="00725E73" w:rsidRDefault="00AF5D99" w:rsidP="00AF5D99">
            <w:pPr>
              <w:rPr>
                <w:rFonts w:asciiTheme="minorBidi" w:hAnsiTheme="minorBidi" w:cstheme="minorBidi"/>
                <w:sz w:val="20"/>
                <w:szCs w:val="20"/>
              </w:rPr>
            </w:pPr>
            <w:r w:rsidRPr="00725E73">
              <w:rPr>
                <w:rFonts w:asciiTheme="minorBidi" w:hAnsiTheme="minorBidi" w:cstheme="minorBidi"/>
                <w:sz w:val="20"/>
                <w:szCs w:val="20"/>
                <w:lang w:val="en-US"/>
              </w:rPr>
              <w:t>Diverse international and national actors across the humanitarian, development and peace nexus have been increasingly working on LGBTIQ+ issues, and tackling matters of sexual orientation, gender identity, gender expression, sex characteristics (SOGIESC) in Lebanon. In June 2020, the UN released a statement of support and call to action for increased support to LGBTIQ+ communities, including the need for more coordination with stakeholders on this issue.</w:t>
            </w:r>
            <w:r w:rsidRPr="00725E73">
              <w:rPr>
                <w:rFonts w:asciiTheme="minorBidi" w:hAnsiTheme="minorBidi" w:cstheme="minorBidi"/>
                <w:sz w:val="20"/>
                <w:szCs w:val="20"/>
                <w:vertAlign w:val="superscript"/>
                <w:lang w:val="en-US"/>
              </w:rPr>
              <w:footnoteReference w:id="3"/>
            </w:r>
            <w:r w:rsidRPr="00725E73">
              <w:rPr>
                <w:rFonts w:asciiTheme="minorBidi" w:hAnsiTheme="minorBidi" w:cstheme="minorBidi"/>
                <w:sz w:val="20"/>
                <w:szCs w:val="20"/>
                <w:lang w:val="en-US"/>
              </w:rPr>
              <w:t xml:space="preserve"> </w:t>
            </w:r>
            <w:r w:rsidRPr="00725E73">
              <w:rPr>
                <w:rFonts w:asciiTheme="minorBidi" w:hAnsiTheme="minorBidi" w:cstheme="minorBidi"/>
                <w:color w:val="000000"/>
                <w:sz w:val="20"/>
                <w:szCs w:val="20"/>
                <w:lang w:val="en-US"/>
              </w:rPr>
              <w:t>In May 2021, UN agencies reiterated their commitment to tackling issues of SOGIESC in response to Lebanon’s multi-faceted crises. To build on this momentum and consolidate efforts, on 5 July 2021, the UN launch the first LGBTIQ+ Task-Force with members from UN agencies, international and national organizations, and the donor community. The LGBTIQ+ Task-Force is currently co-chaired by UNFPA and UN Women. To support its establishment, the Task Force is seeking support to map stakeholders and contribute to the task-force’s strategic planning for 2022 and forthcoming</w:t>
            </w:r>
            <w:proofErr w:type="spellStart"/>
            <w:r w:rsidR="0074544F" w:rsidRPr="00725E73">
              <w:rPr>
                <w:rFonts w:asciiTheme="minorBidi" w:hAnsiTheme="minorBidi" w:cstheme="minorBidi"/>
                <w:sz w:val="20"/>
                <w:szCs w:val="20"/>
              </w:rPr>
              <w:t>s</w:t>
            </w:r>
            <w:proofErr w:type="spellEnd"/>
            <w:r w:rsidR="0074544F" w:rsidRPr="00725E73">
              <w:rPr>
                <w:rFonts w:asciiTheme="minorBidi" w:hAnsiTheme="minorBidi" w:cstheme="minorBidi"/>
                <w:sz w:val="20"/>
                <w:szCs w:val="20"/>
              </w:rPr>
              <w:t xml:space="preserve"> the LGBTIQ+ TF is one of the first such coordination forums in the UN system, globally and regionally, there remains a great need for increased institutional and organizational learning on how to approach SOGIESC issues effective within the UN System. </w:t>
            </w:r>
          </w:p>
          <w:p w14:paraId="5DE38E5D" w14:textId="33E2C5EE" w:rsidR="0074544F" w:rsidRPr="00056439" w:rsidRDefault="0074544F" w:rsidP="00056439">
            <w:pPr>
              <w:rPr>
                <w:rFonts w:asciiTheme="minorBidi" w:hAnsiTheme="minorBidi" w:cstheme="minorBidi"/>
                <w:sz w:val="20"/>
                <w:szCs w:val="20"/>
              </w:rPr>
            </w:pPr>
            <w:r w:rsidRPr="00725E73">
              <w:rPr>
                <w:rFonts w:asciiTheme="minorBidi" w:hAnsiTheme="minorBidi" w:cstheme="minorBidi"/>
                <w:sz w:val="20"/>
                <w:szCs w:val="20"/>
              </w:rPr>
              <w:t xml:space="preserve">This assignment will provide additional analysis, inclusive insights from key stakeholders in Lebanon to guide this process in an effective way. Key areas of concern remain for the Task-force include: ensuring safety for individual and organizational members, maintaining a complimentary and supportive approach to national LGBTIQ+ organizations, leveraging resources to support scaling up of the UN’s work around SOGIESC issues, and sensitizing stakeholders with limited knowledge and expertise on SOGIESC. The stakeholder mapping identifying and summarizing actors across the Humanitarian and Development Nexus working on SOGIESC issues will be useful to inform membership, joint areas of work, future action planning, and critical gaps. </w:t>
            </w:r>
          </w:p>
        </w:tc>
      </w:tr>
      <w:tr w:rsidR="0074544F" w:rsidRPr="00725E73" w14:paraId="68E49FE8"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8DFBBA9"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Scope of work:</w:t>
            </w:r>
          </w:p>
          <w:p w14:paraId="5A2EF977" w14:textId="77777777" w:rsidR="0074544F" w:rsidRPr="00725E73" w:rsidRDefault="0074544F" w:rsidP="0083697E">
            <w:pPr>
              <w:tabs>
                <w:tab w:val="left" w:pos="-720"/>
              </w:tabs>
              <w:suppressAutoHyphens/>
              <w:spacing w:before="40" w:after="54"/>
              <w:rPr>
                <w:rFonts w:ascii="Arial" w:hAnsi="Arial" w:cs="Arial"/>
                <w:sz w:val="20"/>
                <w:szCs w:val="20"/>
              </w:rPr>
            </w:pPr>
          </w:p>
          <w:p w14:paraId="5725377A" w14:textId="77777777" w:rsidR="0074544F" w:rsidRPr="00725E73" w:rsidRDefault="0074544F" w:rsidP="0083697E">
            <w:pPr>
              <w:tabs>
                <w:tab w:val="left" w:pos="-720"/>
              </w:tabs>
              <w:suppressAutoHyphens/>
              <w:spacing w:before="40" w:after="54"/>
              <w:rPr>
                <w:rFonts w:ascii="Arial" w:hAnsi="Arial" w:cs="Arial"/>
                <w:i/>
                <w:sz w:val="20"/>
                <w:szCs w:val="20"/>
              </w:rPr>
            </w:pPr>
            <w:r w:rsidRPr="00725E73">
              <w:rPr>
                <w:rFonts w:ascii="Arial" w:hAnsi="Arial" w:cs="Arial"/>
                <w:i/>
                <w:sz w:val="20"/>
                <w:szCs w:val="20"/>
              </w:rPr>
              <w:t>(Description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B60BF42"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Working in close coordination with UNFPA, UN Women and the LGBTIQ+ Task-force members, the consultant is expected to do the following:</w:t>
            </w:r>
          </w:p>
          <w:p w14:paraId="6995FA73" w14:textId="77777777" w:rsidR="0074544F" w:rsidRPr="00725E73" w:rsidRDefault="0074544F" w:rsidP="0074544F">
            <w:pPr>
              <w:tabs>
                <w:tab w:val="left" w:pos="-720"/>
              </w:tabs>
              <w:suppressAutoHyphens/>
              <w:spacing w:before="40" w:after="54"/>
              <w:rPr>
                <w:rFonts w:ascii="Arial" w:hAnsi="Arial" w:cs="Arial"/>
                <w:sz w:val="20"/>
                <w:szCs w:val="20"/>
              </w:rPr>
            </w:pPr>
          </w:p>
          <w:p w14:paraId="39B605D0"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1. Conduct a Desk-Review on SOGIESC issues in Lebanon, related to the HDP nexus.  </w:t>
            </w:r>
          </w:p>
          <w:p w14:paraId="1709D5F4" w14:textId="77777777" w:rsidR="0074544F" w:rsidRPr="00725E73" w:rsidRDefault="0074544F" w:rsidP="0074544F">
            <w:pPr>
              <w:tabs>
                <w:tab w:val="left" w:pos="-720"/>
              </w:tabs>
              <w:suppressAutoHyphens/>
              <w:spacing w:before="40" w:after="54"/>
              <w:rPr>
                <w:rFonts w:ascii="Arial" w:hAnsi="Arial" w:cs="Arial"/>
                <w:sz w:val="20"/>
                <w:szCs w:val="20"/>
              </w:rPr>
            </w:pPr>
          </w:p>
          <w:p w14:paraId="6F61BFDD"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2. Conduct a SWOT Analysis of LGBTIQ+ Issues in Lebanon, looking at:</w:t>
            </w:r>
          </w:p>
          <w:p w14:paraId="140A7367"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w:t>
            </w:r>
            <w:r w:rsidRPr="00725E73">
              <w:rPr>
                <w:rFonts w:ascii="Arial" w:hAnsi="Arial" w:cs="Arial"/>
                <w:sz w:val="20"/>
                <w:szCs w:val="20"/>
              </w:rPr>
              <w:tab/>
              <w:t>Strengths: What are benefits of establishing a LGBTIQ+ TF?</w:t>
            </w:r>
          </w:p>
          <w:p w14:paraId="6FFA0278"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w:t>
            </w:r>
            <w:r w:rsidRPr="00725E73">
              <w:rPr>
                <w:rFonts w:ascii="Arial" w:hAnsi="Arial" w:cs="Arial"/>
                <w:sz w:val="20"/>
                <w:szCs w:val="20"/>
              </w:rPr>
              <w:tab/>
              <w:t>Weaknesses: What are the limitations of the LGBTIQ+ TF?</w:t>
            </w:r>
          </w:p>
          <w:p w14:paraId="653D9D71"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w:t>
            </w:r>
            <w:r w:rsidRPr="00725E73">
              <w:rPr>
                <w:rFonts w:ascii="Arial" w:hAnsi="Arial" w:cs="Arial"/>
                <w:sz w:val="20"/>
                <w:szCs w:val="20"/>
              </w:rPr>
              <w:tab/>
              <w:t>Opportunities: What are most strategic areas for the LGBTIQ+ TF to focus on?</w:t>
            </w:r>
          </w:p>
          <w:p w14:paraId="07CDEEF7"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lastRenderedPageBreak/>
              <w:t>•</w:t>
            </w:r>
            <w:r w:rsidRPr="00725E73">
              <w:rPr>
                <w:rFonts w:ascii="Arial" w:hAnsi="Arial" w:cs="Arial"/>
                <w:sz w:val="20"/>
                <w:szCs w:val="20"/>
              </w:rPr>
              <w:tab/>
              <w:t>Threats: What are real risks for the LGBTIQ+ TF – to member organizations and individuals, and potential harms that the TF could cause?</w:t>
            </w:r>
          </w:p>
          <w:p w14:paraId="02553753" w14:textId="77777777" w:rsidR="0074544F" w:rsidRPr="00725E73" w:rsidRDefault="0074544F" w:rsidP="0074544F">
            <w:pPr>
              <w:tabs>
                <w:tab w:val="left" w:pos="-720"/>
              </w:tabs>
              <w:suppressAutoHyphens/>
              <w:spacing w:before="40" w:after="54"/>
              <w:rPr>
                <w:rFonts w:ascii="Arial" w:hAnsi="Arial" w:cs="Arial"/>
                <w:sz w:val="20"/>
                <w:szCs w:val="20"/>
              </w:rPr>
            </w:pPr>
          </w:p>
          <w:p w14:paraId="1A382A78"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3. Conduct a Stakeholder Mapping of actors working in Lebanon, looking at:</w:t>
            </w:r>
          </w:p>
          <w:p w14:paraId="77C203BA"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w:t>
            </w:r>
            <w:r w:rsidRPr="00725E73">
              <w:rPr>
                <w:rFonts w:ascii="Arial" w:hAnsi="Arial" w:cs="Arial"/>
                <w:sz w:val="20"/>
                <w:szCs w:val="20"/>
              </w:rPr>
              <w:tab/>
              <w:t xml:space="preserve">Analysis should include: Private sector, government institutions, UN agencies, I/NGOs, with a focus on LGBTIQ+ organizations, and community-based initiatives </w:t>
            </w:r>
          </w:p>
          <w:p w14:paraId="6915E802" w14:textId="77777777" w:rsidR="0074544F" w:rsidRPr="00725E73" w:rsidRDefault="0074544F" w:rsidP="0074544F">
            <w:pPr>
              <w:tabs>
                <w:tab w:val="left" w:pos="-720"/>
              </w:tabs>
              <w:suppressAutoHyphens/>
              <w:spacing w:before="40" w:after="54"/>
              <w:rPr>
                <w:rFonts w:ascii="Arial" w:hAnsi="Arial" w:cs="Arial"/>
                <w:sz w:val="20"/>
                <w:szCs w:val="20"/>
              </w:rPr>
            </w:pPr>
          </w:p>
          <w:p w14:paraId="0872953B"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4. Present Findings to the LGBTIQ+ Task-force for feedback and validation</w:t>
            </w:r>
          </w:p>
          <w:p w14:paraId="2ED3BF9E" w14:textId="77777777" w:rsidR="0074544F" w:rsidRPr="00725E73" w:rsidRDefault="0074544F" w:rsidP="0074544F">
            <w:pPr>
              <w:tabs>
                <w:tab w:val="left" w:pos="-720"/>
              </w:tabs>
              <w:suppressAutoHyphens/>
              <w:spacing w:before="40" w:after="54"/>
              <w:rPr>
                <w:rFonts w:ascii="Arial" w:hAnsi="Arial" w:cs="Arial"/>
                <w:sz w:val="20"/>
                <w:szCs w:val="20"/>
              </w:rPr>
            </w:pPr>
          </w:p>
          <w:p w14:paraId="0C6AD94F" w14:textId="77777777" w:rsidR="0074544F" w:rsidRPr="00725E73" w:rsidRDefault="0074544F" w:rsidP="0074544F">
            <w:pPr>
              <w:tabs>
                <w:tab w:val="left" w:pos="-720"/>
              </w:tabs>
              <w:suppressAutoHyphens/>
              <w:spacing w:before="40" w:after="54"/>
              <w:rPr>
                <w:rFonts w:ascii="Arial" w:hAnsi="Arial" w:cs="Arial"/>
                <w:sz w:val="20"/>
                <w:szCs w:val="20"/>
              </w:rPr>
            </w:pPr>
            <w:r w:rsidRPr="00725E73">
              <w:rPr>
                <w:rFonts w:ascii="Arial" w:hAnsi="Arial" w:cs="Arial"/>
                <w:sz w:val="20"/>
                <w:szCs w:val="20"/>
              </w:rPr>
              <w:t>5. Summarize Findings and Recommendations in a Final Report</w:t>
            </w:r>
          </w:p>
          <w:p w14:paraId="7EB10A49" w14:textId="3A73DBE4" w:rsidR="0074544F" w:rsidRPr="00725E73" w:rsidRDefault="0074544F" w:rsidP="0083697E">
            <w:pPr>
              <w:tabs>
                <w:tab w:val="left" w:pos="-720"/>
              </w:tabs>
              <w:suppressAutoHyphens/>
              <w:spacing w:before="40" w:after="54"/>
              <w:rPr>
                <w:rFonts w:ascii="Arial" w:hAnsi="Arial" w:cs="Arial"/>
                <w:sz w:val="20"/>
                <w:szCs w:val="20"/>
                <w:highlight w:val="yellow"/>
              </w:rPr>
            </w:pPr>
          </w:p>
        </w:tc>
      </w:tr>
      <w:tr w:rsidR="0074544F" w:rsidRPr="00725E73" w14:paraId="427D2ECB"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5D77E32"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lastRenderedPageBreak/>
              <w:t>Duration and working schedule: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71101C1" w14:textId="45255171" w:rsidR="0074544F" w:rsidRPr="00725E73" w:rsidRDefault="0074544F" w:rsidP="0083697E">
            <w:pPr>
              <w:tabs>
                <w:tab w:val="left" w:pos="-720"/>
              </w:tabs>
              <w:suppressAutoHyphens/>
              <w:spacing w:before="40" w:after="54"/>
              <w:rPr>
                <w:rFonts w:ascii="Arial" w:hAnsi="Arial" w:cs="Arial"/>
                <w:sz w:val="20"/>
                <w:szCs w:val="20"/>
                <w:highlight w:val="yellow"/>
              </w:rPr>
            </w:pPr>
            <w:r w:rsidRPr="00725E73">
              <w:rPr>
                <w:rFonts w:ascii="Arial" w:hAnsi="Arial" w:cs="Arial"/>
                <w:sz w:val="20"/>
                <w:szCs w:val="20"/>
                <w:highlight w:val="yellow"/>
              </w:rPr>
              <w:t>30</w:t>
            </w:r>
            <w:r w:rsidR="00AF5D99" w:rsidRPr="00725E73">
              <w:rPr>
                <w:rFonts w:ascii="Arial" w:hAnsi="Arial" w:cs="Arial"/>
                <w:sz w:val="20"/>
                <w:szCs w:val="20"/>
                <w:highlight w:val="yellow"/>
              </w:rPr>
              <w:t xml:space="preserve"> </w:t>
            </w:r>
            <w:r w:rsidRPr="00725E73">
              <w:rPr>
                <w:rFonts w:ascii="Arial" w:hAnsi="Arial" w:cs="Arial"/>
                <w:sz w:val="20"/>
                <w:szCs w:val="20"/>
                <w:highlight w:val="yellow"/>
              </w:rPr>
              <w:t xml:space="preserve">days over two months </w:t>
            </w:r>
          </w:p>
        </w:tc>
      </w:tr>
      <w:tr w:rsidR="0074544F" w:rsidRPr="00725E73" w14:paraId="2E230A67"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778E7E1"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4647D2D" w14:textId="6EA45072" w:rsidR="0074544F" w:rsidRPr="00725E73" w:rsidRDefault="00CE3A6B" w:rsidP="0083697E">
            <w:pPr>
              <w:tabs>
                <w:tab w:val="left" w:pos="-720"/>
              </w:tabs>
              <w:suppressAutoHyphens/>
              <w:spacing w:before="40" w:after="54"/>
              <w:rPr>
                <w:rFonts w:ascii="Arial" w:hAnsi="Arial" w:cs="Arial"/>
                <w:sz w:val="20"/>
                <w:szCs w:val="20"/>
                <w:highlight w:val="yellow"/>
              </w:rPr>
            </w:pPr>
            <w:r w:rsidRPr="00725E73">
              <w:rPr>
                <w:rFonts w:ascii="Arial" w:hAnsi="Arial" w:cs="Arial"/>
                <w:sz w:val="20"/>
                <w:szCs w:val="20"/>
                <w:highlight w:val="yellow"/>
              </w:rPr>
              <w:t>T</w:t>
            </w:r>
            <w:r w:rsidR="0074544F" w:rsidRPr="00725E73">
              <w:rPr>
                <w:rFonts w:ascii="Arial" w:hAnsi="Arial" w:cs="Arial"/>
                <w:sz w:val="20"/>
                <w:szCs w:val="20"/>
                <w:highlight w:val="yellow"/>
              </w:rPr>
              <w:t>asks can be performed remotely</w:t>
            </w:r>
          </w:p>
        </w:tc>
      </w:tr>
      <w:tr w:rsidR="0074544F" w:rsidRPr="00725E73" w14:paraId="4350DB8E"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152F035"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Delivery dates and how work will be delivered (</w:t>
            </w:r>
            <w:r w:rsidRPr="00725E73">
              <w:rPr>
                <w:rFonts w:ascii="Arial" w:hAnsi="Arial" w:cs="Arial"/>
                <w:i/>
                <w:sz w:val="20"/>
                <w:szCs w:val="20"/>
              </w:rPr>
              <w:t>e.g.</w:t>
            </w:r>
            <w:r w:rsidRPr="00725E73">
              <w:rPr>
                <w:rFonts w:ascii="Arial" w:hAnsi="Arial" w:cs="Arial"/>
                <w:sz w:val="20"/>
                <w:szCs w:val="20"/>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650"/>
              <w:gridCol w:w="1080"/>
              <w:gridCol w:w="1260"/>
              <w:gridCol w:w="1306"/>
            </w:tblGrid>
            <w:tr w:rsidR="0074544F" w:rsidRPr="00725E73" w14:paraId="48B52BE3" w14:textId="77777777" w:rsidTr="004F5B64">
              <w:trPr>
                <w:trHeight w:val="392"/>
              </w:trPr>
              <w:tc>
                <w:tcPr>
                  <w:tcW w:w="2075" w:type="dxa"/>
                  <w:shd w:val="clear" w:color="auto" w:fill="auto"/>
                </w:tcPr>
                <w:p w14:paraId="35D5CC1D" w14:textId="77777777" w:rsidR="0074544F" w:rsidRPr="00725E73" w:rsidRDefault="0074544F" w:rsidP="0083697E">
                  <w:pPr>
                    <w:jc w:val="both"/>
                    <w:rPr>
                      <w:rFonts w:ascii="Calibri" w:hAnsi="Calibri"/>
                      <w:b/>
                      <w:bCs/>
                      <w:color w:val="000000"/>
                      <w:sz w:val="20"/>
                      <w:szCs w:val="20"/>
                    </w:rPr>
                  </w:pPr>
                  <w:r w:rsidRPr="00725E73">
                    <w:rPr>
                      <w:rFonts w:ascii="Calibri" w:hAnsi="Calibri"/>
                      <w:b/>
                      <w:bCs/>
                      <w:color w:val="000000"/>
                      <w:sz w:val="20"/>
                      <w:szCs w:val="20"/>
                    </w:rPr>
                    <w:t>Milestones</w:t>
                  </w:r>
                </w:p>
              </w:tc>
              <w:tc>
                <w:tcPr>
                  <w:tcW w:w="1650" w:type="dxa"/>
                  <w:shd w:val="clear" w:color="auto" w:fill="auto"/>
                </w:tcPr>
                <w:p w14:paraId="66044A7A" w14:textId="77777777" w:rsidR="0074544F" w:rsidRPr="00725E73" w:rsidRDefault="0074544F" w:rsidP="0083697E">
                  <w:pPr>
                    <w:jc w:val="both"/>
                    <w:rPr>
                      <w:rFonts w:ascii="Calibri" w:hAnsi="Calibri"/>
                      <w:b/>
                      <w:bCs/>
                      <w:color w:val="000000"/>
                      <w:sz w:val="20"/>
                      <w:szCs w:val="20"/>
                    </w:rPr>
                  </w:pPr>
                  <w:r w:rsidRPr="00725E73">
                    <w:rPr>
                      <w:rFonts w:ascii="Calibri" w:hAnsi="Calibri"/>
                      <w:b/>
                      <w:bCs/>
                      <w:color w:val="000000"/>
                      <w:sz w:val="20"/>
                      <w:szCs w:val="20"/>
                    </w:rPr>
                    <w:t>Deliverables</w:t>
                  </w:r>
                </w:p>
              </w:tc>
              <w:tc>
                <w:tcPr>
                  <w:tcW w:w="1080" w:type="dxa"/>
                  <w:shd w:val="clear" w:color="auto" w:fill="auto"/>
                </w:tcPr>
                <w:p w14:paraId="4DAA1145" w14:textId="77777777" w:rsidR="0074544F" w:rsidRPr="00725E73" w:rsidRDefault="0074544F" w:rsidP="0083697E">
                  <w:pPr>
                    <w:jc w:val="both"/>
                    <w:rPr>
                      <w:rFonts w:ascii="Calibri" w:hAnsi="Calibri"/>
                      <w:b/>
                      <w:bCs/>
                      <w:color w:val="000000"/>
                      <w:sz w:val="20"/>
                      <w:szCs w:val="20"/>
                    </w:rPr>
                  </w:pPr>
                  <w:r w:rsidRPr="00725E73">
                    <w:rPr>
                      <w:rFonts w:ascii="Calibri" w:hAnsi="Calibri"/>
                      <w:b/>
                      <w:bCs/>
                      <w:color w:val="000000"/>
                      <w:sz w:val="20"/>
                      <w:szCs w:val="20"/>
                    </w:rPr>
                    <w:t>Language/ Format</w:t>
                  </w:r>
                </w:p>
              </w:tc>
              <w:tc>
                <w:tcPr>
                  <w:tcW w:w="1260" w:type="dxa"/>
                  <w:shd w:val="clear" w:color="auto" w:fill="auto"/>
                </w:tcPr>
                <w:p w14:paraId="106573F0" w14:textId="77777777" w:rsidR="0074544F" w:rsidRPr="00725E73" w:rsidRDefault="0074544F" w:rsidP="0083697E">
                  <w:pPr>
                    <w:jc w:val="both"/>
                    <w:rPr>
                      <w:rFonts w:ascii="Calibri" w:hAnsi="Calibri"/>
                      <w:b/>
                      <w:bCs/>
                      <w:color w:val="000000"/>
                      <w:sz w:val="20"/>
                      <w:szCs w:val="20"/>
                    </w:rPr>
                  </w:pPr>
                  <w:r w:rsidRPr="00725E73">
                    <w:rPr>
                      <w:rFonts w:ascii="Calibri" w:hAnsi="Calibri"/>
                      <w:b/>
                      <w:bCs/>
                      <w:color w:val="000000"/>
                      <w:sz w:val="20"/>
                      <w:szCs w:val="20"/>
                    </w:rPr>
                    <w:t>Timeline</w:t>
                  </w:r>
                </w:p>
              </w:tc>
              <w:tc>
                <w:tcPr>
                  <w:tcW w:w="1306" w:type="dxa"/>
                  <w:shd w:val="clear" w:color="auto" w:fill="auto"/>
                </w:tcPr>
                <w:p w14:paraId="1F1D78EF" w14:textId="77777777" w:rsidR="0074544F" w:rsidRPr="00725E73" w:rsidRDefault="0074544F" w:rsidP="0083697E">
                  <w:pPr>
                    <w:jc w:val="both"/>
                    <w:rPr>
                      <w:rFonts w:ascii="Calibri" w:hAnsi="Calibri"/>
                      <w:b/>
                      <w:bCs/>
                      <w:color w:val="000000"/>
                      <w:sz w:val="20"/>
                      <w:szCs w:val="20"/>
                    </w:rPr>
                  </w:pPr>
                  <w:r w:rsidRPr="00725E73">
                    <w:rPr>
                      <w:rFonts w:ascii="Calibri" w:hAnsi="Calibri"/>
                      <w:b/>
                      <w:bCs/>
                      <w:color w:val="000000"/>
                      <w:sz w:val="20"/>
                      <w:szCs w:val="20"/>
                    </w:rPr>
                    <w:t>% remuneration</w:t>
                  </w:r>
                </w:p>
              </w:tc>
            </w:tr>
            <w:tr w:rsidR="0074544F" w:rsidRPr="00725E73" w14:paraId="7D5E7BE4" w14:textId="77777777" w:rsidTr="004F5B64">
              <w:trPr>
                <w:trHeight w:val="192"/>
              </w:trPr>
              <w:tc>
                <w:tcPr>
                  <w:tcW w:w="2075" w:type="dxa"/>
                  <w:shd w:val="clear" w:color="auto" w:fill="auto"/>
                </w:tcPr>
                <w:p w14:paraId="1F46AB05"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-Carry our desk review</w:t>
                  </w:r>
                </w:p>
                <w:p w14:paraId="751BB069" w14:textId="77777777" w:rsidR="004F5B64" w:rsidRPr="00725E73" w:rsidRDefault="004F5B64" w:rsidP="004F5B64">
                  <w:pPr>
                    <w:pStyle w:val="ListParagraph"/>
                    <w:ind w:left="0"/>
                    <w:rPr>
                      <w:rFonts w:asciiTheme="minorBidi" w:hAnsiTheme="minorBidi" w:cstheme="minorBidi"/>
                      <w:color w:val="000000"/>
                      <w:sz w:val="20"/>
                      <w:szCs w:val="20"/>
                    </w:rPr>
                  </w:pPr>
                </w:p>
                <w:p w14:paraId="424BA4EE" w14:textId="14518488" w:rsidR="004F5B64" w:rsidRPr="00725E73" w:rsidRDefault="004F5B64" w:rsidP="004F5B64">
                  <w:pPr>
                    <w:pStyle w:val="ListParagraph"/>
                    <w:ind w:left="0"/>
                    <w:rPr>
                      <w:rFonts w:asciiTheme="minorBidi" w:hAnsiTheme="minorBidi" w:cstheme="minorBidi"/>
                      <w:color w:val="000000"/>
                      <w:sz w:val="20"/>
                      <w:szCs w:val="20"/>
                    </w:rPr>
                  </w:pPr>
                  <w:r w:rsidRPr="00725E73">
                    <w:rPr>
                      <w:rFonts w:asciiTheme="minorBidi" w:hAnsiTheme="minorBidi" w:cstheme="minorBidi"/>
                      <w:color w:val="000000"/>
                      <w:sz w:val="20"/>
                      <w:szCs w:val="20"/>
                    </w:rPr>
                    <w:t>-Draft Desk Review Report</w:t>
                  </w:r>
                </w:p>
                <w:p w14:paraId="69616CBE" w14:textId="152DF618" w:rsidR="0074544F" w:rsidRPr="00725E73" w:rsidRDefault="0074544F" w:rsidP="0083697E">
                  <w:pPr>
                    <w:pStyle w:val="ListParagraph"/>
                    <w:ind w:left="0"/>
                    <w:rPr>
                      <w:rFonts w:asciiTheme="minorBidi" w:hAnsiTheme="minorBidi" w:cstheme="minorBidi"/>
                      <w:color w:val="000000"/>
                      <w:sz w:val="20"/>
                      <w:szCs w:val="20"/>
                    </w:rPr>
                  </w:pPr>
                </w:p>
              </w:tc>
              <w:tc>
                <w:tcPr>
                  <w:tcW w:w="1650" w:type="dxa"/>
                  <w:shd w:val="clear" w:color="auto" w:fill="auto"/>
                </w:tcPr>
                <w:p w14:paraId="2A35E7FE" w14:textId="5D44C824" w:rsidR="0074544F" w:rsidRPr="00725E73" w:rsidRDefault="004F5B64" w:rsidP="0083697E">
                  <w:pPr>
                    <w:pStyle w:val="ListParagraph"/>
                    <w:ind w:left="0"/>
                    <w:rPr>
                      <w:rFonts w:asciiTheme="minorBidi" w:hAnsiTheme="minorBidi" w:cstheme="minorBidi"/>
                      <w:color w:val="000000"/>
                      <w:sz w:val="20"/>
                      <w:szCs w:val="20"/>
                    </w:rPr>
                  </w:pPr>
                  <w:r w:rsidRPr="00725E73">
                    <w:rPr>
                      <w:rFonts w:asciiTheme="minorBidi" w:hAnsiTheme="minorBidi" w:cstheme="minorBidi"/>
                      <w:color w:val="000000"/>
                      <w:sz w:val="20"/>
                      <w:szCs w:val="20"/>
                    </w:rPr>
                    <w:t>Desk Review Report</w:t>
                  </w:r>
                </w:p>
                <w:p w14:paraId="5995A796" w14:textId="61BCFCAA" w:rsidR="004F5B64" w:rsidRPr="00725E73" w:rsidRDefault="004F5B64" w:rsidP="0083697E">
                  <w:pPr>
                    <w:pStyle w:val="ListParagraph"/>
                    <w:ind w:left="0"/>
                    <w:rPr>
                      <w:rFonts w:asciiTheme="minorBidi" w:hAnsiTheme="minorBidi" w:cstheme="minorBidi"/>
                      <w:color w:val="000000"/>
                      <w:sz w:val="20"/>
                      <w:szCs w:val="20"/>
                      <w:lang w:val="en-US"/>
                    </w:rPr>
                  </w:pPr>
                </w:p>
              </w:tc>
              <w:tc>
                <w:tcPr>
                  <w:tcW w:w="1080" w:type="dxa"/>
                  <w:shd w:val="clear" w:color="auto" w:fill="auto"/>
                </w:tcPr>
                <w:p w14:paraId="5D4B1B47" w14:textId="4E8C240A" w:rsidR="0074544F" w:rsidRPr="00725E73" w:rsidRDefault="0074544F" w:rsidP="0083697E">
                  <w:pPr>
                    <w:jc w:val="both"/>
                    <w:rPr>
                      <w:rFonts w:ascii="Arial" w:hAnsi="Arial" w:cs="Arial"/>
                      <w:color w:val="000000"/>
                      <w:sz w:val="20"/>
                      <w:szCs w:val="20"/>
                    </w:rPr>
                  </w:pPr>
                  <w:r w:rsidRPr="00725E73">
                    <w:rPr>
                      <w:rFonts w:ascii="Arial" w:hAnsi="Arial" w:cs="Arial"/>
                      <w:color w:val="000000"/>
                      <w:sz w:val="20"/>
                      <w:szCs w:val="20"/>
                    </w:rPr>
                    <w:t xml:space="preserve"> English</w:t>
                  </w:r>
                </w:p>
              </w:tc>
              <w:tc>
                <w:tcPr>
                  <w:tcW w:w="1260" w:type="dxa"/>
                  <w:shd w:val="clear" w:color="auto" w:fill="auto"/>
                </w:tcPr>
                <w:p w14:paraId="25626150" w14:textId="483AA339" w:rsidR="0074544F" w:rsidRPr="00725E73" w:rsidRDefault="0074544F" w:rsidP="0083697E">
                  <w:pPr>
                    <w:rPr>
                      <w:rFonts w:ascii="Arial" w:hAnsi="Arial" w:cs="Arial"/>
                      <w:color w:val="000000"/>
                      <w:sz w:val="20"/>
                      <w:szCs w:val="20"/>
                    </w:rPr>
                  </w:pPr>
                  <w:r w:rsidRPr="00725E73">
                    <w:rPr>
                      <w:rFonts w:ascii="Arial" w:hAnsi="Arial" w:cs="Arial"/>
                      <w:color w:val="000000"/>
                      <w:sz w:val="20"/>
                      <w:szCs w:val="20"/>
                    </w:rPr>
                    <w:t xml:space="preserve"> 30 November 2021</w:t>
                  </w:r>
                </w:p>
              </w:tc>
              <w:tc>
                <w:tcPr>
                  <w:tcW w:w="1306" w:type="dxa"/>
                  <w:shd w:val="clear" w:color="auto" w:fill="auto"/>
                </w:tcPr>
                <w:p w14:paraId="4A3C10D4" w14:textId="69821921" w:rsidR="0074544F" w:rsidRPr="00725E73" w:rsidRDefault="0074544F" w:rsidP="0083697E">
                  <w:pPr>
                    <w:jc w:val="both"/>
                    <w:rPr>
                      <w:rFonts w:ascii="Arial" w:hAnsi="Arial" w:cs="Arial"/>
                      <w:color w:val="000000"/>
                      <w:sz w:val="20"/>
                      <w:szCs w:val="20"/>
                    </w:rPr>
                  </w:pPr>
                  <w:r w:rsidRPr="00725E73">
                    <w:rPr>
                      <w:rFonts w:ascii="Arial" w:hAnsi="Arial" w:cs="Arial"/>
                      <w:color w:val="000000"/>
                      <w:sz w:val="20"/>
                      <w:szCs w:val="20"/>
                    </w:rPr>
                    <w:t>30%</w:t>
                  </w:r>
                </w:p>
              </w:tc>
            </w:tr>
            <w:tr w:rsidR="0074544F" w:rsidRPr="00725E73" w14:paraId="448F1A29" w14:textId="77777777" w:rsidTr="004F5B64">
              <w:trPr>
                <w:trHeight w:val="192"/>
              </w:trPr>
              <w:tc>
                <w:tcPr>
                  <w:tcW w:w="2075" w:type="dxa"/>
                  <w:shd w:val="clear" w:color="auto" w:fill="auto"/>
                </w:tcPr>
                <w:p w14:paraId="58FE322D"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Conduct the consultative process</w:t>
                  </w:r>
                </w:p>
                <w:p w14:paraId="2AD7BD51" w14:textId="445EFE86"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Develop/Review mapping Tool</w:t>
                  </w:r>
                </w:p>
                <w:p w14:paraId="3186A584"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-Develop draft (and final) mapping report</w:t>
                  </w:r>
                </w:p>
                <w:p w14:paraId="158891AC"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 xml:space="preserve">-Conduct SWOT Analysis </w:t>
                  </w:r>
                </w:p>
                <w:p w14:paraId="3349295C"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-Develop a brief summary of key findings</w:t>
                  </w:r>
                </w:p>
                <w:p w14:paraId="18C478E7"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-Present the findings in one technical meeting</w:t>
                  </w:r>
                </w:p>
                <w:p w14:paraId="2CC3C2BB" w14:textId="32073161" w:rsidR="0074544F" w:rsidRPr="00725E73" w:rsidRDefault="0074544F" w:rsidP="0083697E">
                  <w:pPr>
                    <w:pStyle w:val="ListParagraph"/>
                    <w:ind w:left="0"/>
                    <w:rPr>
                      <w:rFonts w:asciiTheme="minorBidi" w:hAnsiTheme="minorBidi" w:cstheme="minorBidi"/>
                      <w:color w:val="000000"/>
                      <w:sz w:val="20"/>
                      <w:szCs w:val="20"/>
                      <w:lang w:val="en-US"/>
                    </w:rPr>
                  </w:pPr>
                </w:p>
              </w:tc>
              <w:tc>
                <w:tcPr>
                  <w:tcW w:w="1650" w:type="dxa"/>
                  <w:shd w:val="clear" w:color="auto" w:fill="auto"/>
                </w:tcPr>
                <w:p w14:paraId="6082F2C3" w14:textId="77777777" w:rsidR="0074544F"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 xml:space="preserve">Mapping Exercise </w:t>
                  </w:r>
                </w:p>
                <w:p w14:paraId="3A9FC711" w14:textId="77777777"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222222"/>
                      <w:sz w:val="20"/>
                      <w:szCs w:val="20"/>
                    </w:rPr>
                  </w:pPr>
                  <w:r w:rsidRPr="00725E73">
                    <w:rPr>
                      <w:rFonts w:asciiTheme="minorBidi" w:hAnsiTheme="minorBidi" w:cstheme="minorBidi"/>
                      <w:color w:val="222222"/>
                      <w:sz w:val="20"/>
                      <w:szCs w:val="20"/>
                    </w:rPr>
                    <w:t xml:space="preserve">SWOT Analysis </w:t>
                  </w:r>
                </w:p>
                <w:p w14:paraId="6D123ECC" w14:textId="698CB19A" w:rsidR="004F5B64" w:rsidRPr="00725E73" w:rsidRDefault="004F5B64" w:rsidP="004F5B64">
                  <w:pPr>
                    <w:pStyle w:val="m-247459320920481597msolistparagraph"/>
                    <w:shd w:val="clear" w:color="auto" w:fill="FFFFFF"/>
                    <w:spacing w:before="0" w:beforeAutospacing="0" w:after="0" w:afterAutospacing="0"/>
                    <w:rPr>
                      <w:rFonts w:asciiTheme="minorBidi" w:hAnsiTheme="minorBidi" w:cstheme="minorBidi"/>
                      <w:color w:val="000000"/>
                      <w:sz w:val="20"/>
                      <w:szCs w:val="20"/>
                    </w:rPr>
                  </w:pPr>
                  <w:r w:rsidRPr="00725E73">
                    <w:rPr>
                      <w:rFonts w:asciiTheme="minorBidi" w:hAnsiTheme="minorBidi" w:cstheme="minorBidi"/>
                      <w:color w:val="222222"/>
                      <w:sz w:val="20"/>
                      <w:szCs w:val="20"/>
                    </w:rPr>
                    <w:t>Presentation of key findings</w:t>
                  </w:r>
                </w:p>
              </w:tc>
              <w:tc>
                <w:tcPr>
                  <w:tcW w:w="1080" w:type="dxa"/>
                  <w:shd w:val="clear" w:color="auto" w:fill="auto"/>
                </w:tcPr>
                <w:p w14:paraId="70000128" w14:textId="714F77BC" w:rsidR="0074544F" w:rsidRPr="00725E73" w:rsidRDefault="0074544F" w:rsidP="0083697E">
                  <w:pPr>
                    <w:jc w:val="both"/>
                    <w:rPr>
                      <w:rFonts w:ascii="Arial" w:hAnsi="Arial" w:cs="Arial"/>
                      <w:color w:val="000000"/>
                      <w:sz w:val="20"/>
                      <w:szCs w:val="20"/>
                    </w:rPr>
                  </w:pPr>
                  <w:r w:rsidRPr="00725E73">
                    <w:rPr>
                      <w:rFonts w:ascii="Arial" w:hAnsi="Arial" w:cs="Arial"/>
                      <w:color w:val="000000"/>
                      <w:sz w:val="20"/>
                      <w:szCs w:val="20"/>
                    </w:rPr>
                    <w:t xml:space="preserve">English </w:t>
                  </w:r>
                </w:p>
              </w:tc>
              <w:tc>
                <w:tcPr>
                  <w:tcW w:w="1260" w:type="dxa"/>
                  <w:shd w:val="clear" w:color="auto" w:fill="auto"/>
                </w:tcPr>
                <w:p w14:paraId="4B394ED8" w14:textId="2BCBD133" w:rsidR="0074544F" w:rsidRPr="00725E73" w:rsidRDefault="00AF5D99" w:rsidP="0083697E">
                  <w:pPr>
                    <w:rPr>
                      <w:rFonts w:ascii="Arial" w:hAnsi="Arial" w:cs="Arial"/>
                      <w:color w:val="000000"/>
                      <w:sz w:val="20"/>
                      <w:szCs w:val="20"/>
                    </w:rPr>
                  </w:pPr>
                  <w:r w:rsidRPr="00725E73">
                    <w:rPr>
                      <w:rFonts w:ascii="Arial" w:hAnsi="Arial" w:cs="Arial"/>
                      <w:color w:val="000000"/>
                      <w:sz w:val="20"/>
                      <w:szCs w:val="20"/>
                    </w:rPr>
                    <w:t>24 December 2021</w:t>
                  </w:r>
                  <w:r w:rsidR="0074544F" w:rsidRPr="00725E73">
                    <w:rPr>
                      <w:rFonts w:ascii="Arial" w:hAnsi="Arial" w:cs="Arial"/>
                      <w:color w:val="000000"/>
                      <w:sz w:val="20"/>
                      <w:szCs w:val="20"/>
                    </w:rPr>
                    <w:t xml:space="preserve"> </w:t>
                  </w:r>
                </w:p>
              </w:tc>
              <w:tc>
                <w:tcPr>
                  <w:tcW w:w="1306" w:type="dxa"/>
                  <w:shd w:val="clear" w:color="auto" w:fill="auto"/>
                </w:tcPr>
                <w:p w14:paraId="7092A349" w14:textId="23F4C1ED" w:rsidR="0074544F" w:rsidRPr="00725E73" w:rsidRDefault="0074544F" w:rsidP="0083697E">
                  <w:pPr>
                    <w:jc w:val="both"/>
                    <w:rPr>
                      <w:rFonts w:ascii="Arial" w:hAnsi="Arial" w:cs="Arial"/>
                      <w:color w:val="000000"/>
                      <w:sz w:val="20"/>
                      <w:szCs w:val="20"/>
                    </w:rPr>
                  </w:pPr>
                  <w:r w:rsidRPr="00725E73">
                    <w:rPr>
                      <w:rFonts w:ascii="Arial" w:hAnsi="Arial" w:cs="Arial"/>
                      <w:color w:val="000000"/>
                      <w:sz w:val="20"/>
                      <w:szCs w:val="20"/>
                    </w:rPr>
                    <w:t>70%</w:t>
                  </w:r>
                </w:p>
              </w:tc>
            </w:tr>
          </w:tbl>
          <w:p w14:paraId="2E9FCB8E" w14:textId="77777777" w:rsidR="0074544F" w:rsidRPr="00725E73" w:rsidRDefault="0074544F" w:rsidP="0083697E">
            <w:pPr>
              <w:tabs>
                <w:tab w:val="left" w:pos="-720"/>
              </w:tabs>
              <w:suppressAutoHyphens/>
              <w:spacing w:before="40" w:after="54"/>
              <w:rPr>
                <w:rFonts w:ascii="Arial" w:hAnsi="Arial" w:cs="Arial"/>
                <w:sz w:val="20"/>
                <w:szCs w:val="20"/>
                <w:highlight w:val="yellow"/>
              </w:rPr>
            </w:pPr>
          </w:p>
        </w:tc>
      </w:tr>
      <w:tr w:rsidR="0074544F" w:rsidRPr="00725E73" w14:paraId="692DA8DD"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003AFAE"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Monitoring and progress control, including reporting requirements, periodicity format and deadline: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E550702" w14:textId="77777777" w:rsidR="004F5B64" w:rsidRPr="00725E73" w:rsidRDefault="004F5B64" w:rsidP="0083697E">
            <w:pPr>
              <w:tabs>
                <w:tab w:val="left" w:pos="-720"/>
              </w:tabs>
              <w:suppressAutoHyphens/>
              <w:spacing w:before="40" w:after="54"/>
              <w:rPr>
                <w:rFonts w:ascii="Arial" w:hAnsi="Arial" w:cs="Arial"/>
                <w:sz w:val="20"/>
                <w:szCs w:val="20"/>
                <w:lang w:val="en-US"/>
              </w:rPr>
            </w:pPr>
          </w:p>
          <w:p w14:paraId="158D688D" w14:textId="140EFEE3"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Final Report to be submitted at the end of the consultancy </w:t>
            </w:r>
          </w:p>
          <w:p w14:paraId="6CF0B3C6" w14:textId="1D8475F2" w:rsidR="0074544F" w:rsidRPr="00725E73" w:rsidRDefault="0074544F" w:rsidP="0083697E">
            <w:pPr>
              <w:tabs>
                <w:tab w:val="left" w:pos="-720"/>
              </w:tabs>
              <w:suppressAutoHyphens/>
              <w:spacing w:before="40" w:after="54"/>
              <w:rPr>
                <w:rFonts w:ascii="Arial" w:hAnsi="Arial" w:cs="Arial"/>
                <w:sz w:val="20"/>
                <w:szCs w:val="20"/>
              </w:rPr>
            </w:pPr>
          </w:p>
        </w:tc>
      </w:tr>
      <w:tr w:rsidR="0074544F" w:rsidRPr="00725E73" w14:paraId="6DC03344"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7B422E5"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4AB6149"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The consultant reports to the Humanitarian and GBV Coordinator </w:t>
            </w:r>
          </w:p>
        </w:tc>
      </w:tr>
      <w:tr w:rsidR="0074544F" w:rsidRPr="00725E73" w14:paraId="5C7A20FB"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17B9A63"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DDE83FB" w14:textId="0CE5DD66"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Tasks can be performed remotely</w:t>
            </w:r>
          </w:p>
        </w:tc>
      </w:tr>
      <w:tr w:rsidR="0074544F" w:rsidRPr="00725E73" w14:paraId="6E8E679C"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45018AC"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Required expertise, qualifications and competencies, including language requirements: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FCF5002"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BS degree in Social Sciences or related fields</w:t>
            </w:r>
          </w:p>
          <w:p w14:paraId="6F3D282D" w14:textId="090E207A"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Minimum of 5 years of work experience in the GBV, Gender, inclusion, SOGIESC related issues  </w:t>
            </w:r>
          </w:p>
          <w:p w14:paraId="183B432E" w14:textId="78940D6B"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Previous experience in leading policy revies, strategies development, </w:t>
            </w:r>
          </w:p>
          <w:p w14:paraId="348D06DD" w14:textId="757BCC1F"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Fluency in oral and written English is essential, Knowledge of Arabic is a plus </w:t>
            </w:r>
          </w:p>
          <w:p w14:paraId="214D2D3F" w14:textId="1AABEF0D"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Familiarity and experience with the LGBTIQ/SOGUESC latest global development </w:t>
            </w:r>
          </w:p>
          <w:p w14:paraId="23AE5FB1" w14:textId="39417A56"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Proven experience in conducting desk review and similar exercise </w:t>
            </w:r>
          </w:p>
          <w:p w14:paraId="28CD7F03" w14:textId="400D27E0" w:rsidR="0074544F" w:rsidRPr="00725E73" w:rsidRDefault="0074544F" w:rsidP="0096725D">
            <w:pPr>
              <w:tabs>
                <w:tab w:val="left" w:pos="-720"/>
              </w:tabs>
              <w:suppressAutoHyphens/>
              <w:spacing w:before="40" w:after="54"/>
              <w:rPr>
                <w:rFonts w:ascii="Arial" w:hAnsi="Arial" w:cs="Arial"/>
                <w:sz w:val="20"/>
                <w:szCs w:val="20"/>
              </w:rPr>
            </w:pPr>
            <w:r w:rsidRPr="00725E73">
              <w:rPr>
                <w:rFonts w:ascii="Arial" w:hAnsi="Arial" w:cs="Arial"/>
                <w:sz w:val="20"/>
                <w:szCs w:val="20"/>
              </w:rPr>
              <w:t xml:space="preserve">Previous experience in conducting mapping and SWOT analysis desired  </w:t>
            </w:r>
          </w:p>
        </w:tc>
      </w:tr>
      <w:tr w:rsidR="0074544F" w:rsidRPr="00725E73" w14:paraId="7225A9ED"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829BD7C"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Inputs / services to be provided by UNFPA or implementing partner (</w:t>
            </w:r>
            <w:proofErr w:type="spellStart"/>
            <w:r w:rsidRPr="00725E73">
              <w:rPr>
                <w:rFonts w:ascii="Arial" w:hAnsi="Arial" w:cs="Arial"/>
                <w:sz w:val="20"/>
                <w:szCs w:val="20"/>
              </w:rPr>
              <w:t>e.g</w:t>
            </w:r>
            <w:proofErr w:type="spellEnd"/>
            <w:r w:rsidRPr="00725E73">
              <w:rPr>
                <w:rFonts w:ascii="Arial" w:hAnsi="Arial" w:cs="Arial"/>
                <w:sz w:val="20"/>
                <w:szCs w:val="20"/>
              </w:rPr>
              <w:t xml:space="preserve">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24573AF4" w14:textId="77777777" w:rsidR="0074544F" w:rsidRPr="00725E73" w:rsidRDefault="0074544F" w:rsidP="0083697E">
            <w:pPr>
              <w:tabs>
                <w:tab w:val="left" w:pos="-720"/>
              </w:tabs>
              <w:suppressAutoHyphens/>
              <w:spacing w:before="40" w:after="54"/>
              <w:rPr>
                <w:rFonts w:ascii="Arial" w:hAnsi="Arial" w:cs="Arial"/>
                <w:sz w:val="20"/>
                <w:szCs w:val="20"/>
              </w:rPr>
            </w:pPr>
          </w:p>
          <w:p w14:paraId="417D749D" w14:textId="77777777" w:rsidR="0074544F" w:rsidRPr="00725E73" w:rsidRDefault="0074544F" w:rsidP="0083697E">
            <w:pPr>
              <w:tabs>
                <w:tab w:val="left" w:pos="-720"/>
              </w:tabs>
              <w:suppressAutoHyphens/>
              <w:spacing w:before="40" w:after="54"/>
              <w:rPr>
                <w:rFonts w:ascii="Arial" w:hAnsi="Arial" w:cs="Arial"/>
                <w:sz w:val="20"/>
                <w:szCs w:val="20"/>
              </w:rPr>
            </w:pPr>
            <w:r w:rsidRPr="00725E73">
              <w:rPr>
                <w:rFonts w:ascii="Arial" w:hAnsi="Arial" w:cs="Arial"/>
                <w:sz w:val="20"/>
                <w:szCs w:val="20"/>
              </w:rPr>
              <w:t>NA</w:t>
            </w:r>
          </w:p>
          <w:p w14:paraId="04EF79F0" w14:textId="77777777" w:rsidR="0074544F" w:rsidRPr="00725E73" w:rsidRDefault="0074544F" w:rsidP="0083697E">
            <w:pPr>
              <w:tabs>
                <w:tab w:val="left" w:pos="-720"/>
              </w:tabs>
              <w:suppressAutoHyphens/>
              <w:spacing w:before="40" w:after="54"/>
              <w:rPr>
                <w:rFonts w:ascii="Arial" w:hAnsi="Arial" w:cs="Arial"/>
                <w:sz w:val="20"/>
                <w:szCs w:val="20"/>
              </w:rPr>
            </w:pPr>
          </w:p>
        </w:tc>
      </w:tr>
      <w:tr w:rsidR="0074544F" w:rsidRPr="00725E73" w14:paraId="4A9DF592" w14:textId="77777777" w:rsidTr="0083697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9F4DCB7" w14:textId="77777777" w:rsidR="0074544F" w:rsidRPr="00725E73" w:rsidRDefault="0074544F" w:rsidP="0083697E">
            <w:pPr>
              <w:tabs>
                <w:tab w:val="left" w:pos="-720"/>
              </w:tabs>
              <w:suppressAutoHyphens/>
              <w:rPr>
                <w:rFonts w:ascii="Arial" w:hAnsi="Arial" w:cs="Arial"/>
                <w:sz w:val="20"/>
                <w:szCs w:val="20"/>
              </w:rPr>
            </w:pPr>
            <w:r w:rsidRPr="00725E73">
              <w:rPr>
                <w:rFonts w:ascii="Arial" w:hAnsi="Arial" w:cs="Arial"/>
                <w:sz w:val="20"/>
                <w:szCs w:val="20"/>
              </w:rPr>
              <w:lastRenderedPageBreak/>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1C41673" w14:textId="77777777" w:rsidR="0074544F" w:rsidRPr="00725E73" w:rsidRDefault="0074544F" w:rsidP="0083697E">
            <w:pPr>
              <w:tabs>
                <w:tab w:val="left" w:pos="-720"/>
              </w:tabs>
              <w:suppressAutoHyphens/>
              <w:rPr>
                <w:rFonts w:ascii="Arial" w:hAnsi="Arial" w:cs="Arial"/>
                <w:sz w:val="20"/>
                <w:szCs w:val="20"/>
              </w:rPr>
            </w:pPr>
          </w:p>
        </w:tc>
      </w:tr>
      <w:tr w:rsidR="0074544F" w:rsidRPr="00725E73" w14:paraId="32C854BD" w14:textId="77777777" w:rsidTr="0083697E">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14:paraId="28E2B9EF" w14:textId="77777777" w:rsidR="0074544F" w:rsidRPr="00725E73" w:rsidRDefault="0074544F" w:rsidP="0083697E">
            <w:pPr>
              <w:tabs>
                <w:tab w:val="left" w:pos="-720"/>
              </w:tabs>
              <w:suppressAutoHyphens/>
              <w:rPr>
                <w:rFonts w:ascii="Arial" w:hAnsi="Arial" w:cs="Arial"/>
                <w:sz w:val="20"/>
                <w:szCs w:val="20"/>
              </w:rPr>
            </w:pPr>
          </w:p>
          <w:p w14:paraId="1D03BBC6" w14:textId="66BD83B4" w:rsidR="0074544F" w:rsidRPr="00725E73" w:rsidRDefault="0074544F" w:rsidP="0083697E">
            <w:pPr>
              <w:tabs>
                <w:tab w:val="left" w:pos="-720"/>
              </w:tabs>
              <w:suppressAutoHyphens/>
              <w:rPr>
                <w:rFonts w:ascii="Arial" w:hAnsi="Arial" w:cs="Arial"/>
                <w:sz w:val="20"/>
                <w:szCs w:val="20"/>
              </w:rPr>
            </w:pPr>
            <w:r w:rsidRPr="00725E73">
              <w:rPr>
                <w:rFonts w:ascii="Arial" w:hAnsi="Arial" w:cs="Arial"/>
                <w:sz w:val="20"/>
                <w:szCs w:val="20"/>
              </w:rPr>
              <w:t>Signature of Requesting Officer in Hiring Office:</w:t>
            </w:r>
            <w:r w:rsidR="006F4E3E">
              <w:rPr>
                <w:rFonts w:ascii="Arial" w:hAnsi="Arial" w:cs="Arial"/>
                <w:sz w:val="20"/>
                <w:szCs w:val="20"/>
              </w:rPr>
              <w:t xml:space="preserve"> Erica Talentino </w:t>
            </w:r>
          </w:p>
          <w:p w14:paraId="33476C61" w14:textId="77777777" w:rsidR="0074544F" w:rsidRPr="00725E73" w:rsidRDefault="0074544F" w:rsidP="0083697E">
            <w:pPr>
              <w:tabs>
                <w:tab w:val="left" w:pos="-720"/>
              </w:tabs>
              <w:suppressAutoHyphens/>
              <w:rPr>
                <w:rFonts w:ascii="Arial" w:hAnsi="Arial" w:cs="Arial"/>
                <w:sz w:val="20"/>
                <w:szCs w:val="20"/>
              </w:rPr>
            </w:pPr>
          </w:p>
          <w:p w14:paraId="561589B9" w14:textId="3BE986B7" w:rsidR="0074544F" w:rsidRPr="00725E73" w:rsidRDefault="0074544F" w:rsidP="0083697E">
            <w:pPr>
              <w:tabs>
                <w:tab w:val="left" w:pos="-720"/>
              </w:tabs>
              <w:suppressAutoHyphens/>
              <w:rPr>
                <w:rFonts w:ascii="Arial" w:hAnsi="Arial" w:cs="Arial"/>
                <w:sz w:val="20"/>
                <w:szCs w:val="20"/>
              </w:rPr>
            </w:pPr>
            <w:r w:rsidRPr="00725E73">
              <w:rPr>
                <w:rFonts w:ascii="Arial" w:hAnsi="Arial" w:cs="Arial"/>
                <w:sz w:val="20"/>
                <w:szCs w:val="20"/>
              </w:rPr>
              <w:t>Date: 15/10/2021</w:t>
            </w:r>
          </w:p>
          <w:p w14:paraId="135158CC" w14:textId="77777777" w:rsidR="0074544F" w:rsidRPr="00725E73" w:rsidRDefault="0074544F" w:rsidP="0083697E">
            <w:pPr>
              <w:tabs>
                <w:tab w:val="left" w:pos="-720"/>
              </w:tabs>
              <w:suppressAutoHyphens/>
              <w:rPr>
                <w:rFonts w:ascii="Arial" w:hAnsi="Arial" w:cs="Arial"/>
                <w:sz w:val="20"/>
                <w:szCs w:val="20"/>
                <w:highlight w:val="yellow"/>
              </w:rPr>
            </w:pPr>
          </w:p>
        </w:tc>
      </w:tr>
    </w:tbl>
    <w:p w14:paraId="4A67AD34" w14:textId="77777777" w:rsidR="0074544F" w:rsidRPr="004F5B64" w:rsidRDefault="0074544F" w:rsidP="0074544F">
      <w:pPr>
        <w:rPr>
          <w:sz w:val="16"/>
          <w:szCs w:val="16"/>
          <w:lang w:val="en-US"/>
        </w:rPr>
      </w:pPr>
    </w:p>
    <w:p w14:paraId="25E0FAB4" w14:textId="77777777" w:rsidR="0074544F" w:rsidRDefault="0074544F"/>
    <w:sectPr w:rsidR="0074544F"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3B29" w14:textId="77777777" w:rsidR="00FC2900" w:rsidRDefault="00FC2900" w:rsidP="00AF5D99">
      <w:r>
        <w:separator/>
      </w:r>
    </w:p>
  </w:endnote>
  <w:endnote w:type="continuationSeparator" w:id="0">
    <w:p w14:paraId="6FA204CE" w14:textId="77777777" w:rsidR="00FC2900" w:rsidRDefault="00FC2900" w:rsidP="00AF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19F5" w14:textId="77777777" w:rsidR="00FC2900" w:rsidRDefault="00FC2900" w:rsidP="00AF5D99">
      <w:r>
        <w:separator/>
      </w:r>
    </w:p>
  </w:footnote>
  <w:footnote w:type="continuationSeparator" w:id="0">
    <w:p w14:paraId="1AAA32AD" w14:textId="77777777" w:rsidR="00FC2900" w:rsidRDefault="00FC2900" w:rsidP="00AF5D99">
      <w:r>
        <w:continuationSeparator/>
      </w:r>
    </w:p>
  </w:footnote>
  <w:footnote w:id="1">
    <w:p w14:paraId="69B80B11" w14:textId="77777777" w:rsidR="00AF5D99" w:rsidRPr="00F35BB1" w:rsidRDefault="00AF5D99" w:rsidP="00AF5D99">
      <w:pPr>
        <w:rPr>
          <w:sz w:val="16"/>
          <w:szCs w:val="16"/>
        </w:rPr>
      </w:pPr>
      <w:r w:rsidRPr="00F35BB1">
        <w:rPr>
          <w:rStyle w:val="FootnoteReference"/>
          <w:sz w:val="16"/>
          <w:szCs w:val="16"/>
        </w:rPr>
        <w:footnoteRef/>
      </w:r>
      <w:r w:rsidRPr="00F35BB1">
        <w:rPr>
          <w:sz w:val="16"/>
          <w:szCs w:val="16"/>
        </w:rPr>
        <w:t xml:space="preserve"> </w:t>
      </w:r>
      <w:r w:rsidRPr="00F35BB1">
        <w:rPr>
          <w:rFonts w:ascii="Calibri" w:hAnsi="Calibri" w:cs="Calibri"/>
          <w:sz w:val="16"/>
          <w:szCs w:val="16"/>
        </w:rPr>
        <w:t xml:space="preserve">‘People of diverse SOGIESC’ is considered a more inclusive term describing people with diverse sexualities and genders. It is often used interchangeably with LGBT, LGBTI, LGBTIQ+. In noting that neither acronym is universally applicable nor reflects the full diversity of sexual and gender formations, practices and identities that exist, and in recognition that SOGIESC applies to all people, the focus on ‘diverse SOGIESC’ here is intended to capture those living beyond heteronormative, </w:t>
      </w:r>
      <w:proofErr w:type="spellStart"/>
      <w:r w:rsidRPr="00F35BB1">
        <w:rPr>
          <w:rFonts w:ascii="Calibri" w:hAnsi="Calibri" w:cs="Calibri"/>
          <w:sz w:val="16"/>
          <w:szCs w:val="16"/>
        </w:rPr>
        <w:t>cisnormative</w:t>
      </w:r>
      <w:proofErr w:type="spellEnd"/>
      <w:r w:rsidRPr="00F35BB1">
        <w:rPr>
          <w:rFonts w:ascii="Calibri" w:hAnsi="Calibri" w:cs="Calibri"/>
          <w:sz w:val="16"/>
          <w:szCs w:val="16"/>
        </w:rPr>
        <w:t xml:space="preserve">, gender binary and </w:t>
      </w:r>
      <w:proofErr w:type="spellStart"/>
      <w:r w:rsidRPr="00F35BB1">
        <w:rPr>
          <w:rFonts w:ascii="Calibri" w:hAnsi="Calibri" w:cs="Calibri"/>
          <w:sz w:val="16"/>
          <w:szCs w:val="16"/>
        </w:rPr>
        <w:t>endosexist</w:t>
      </w:r>
      <w:proofErr w:type="spellEnd"/>
      <w:r w:rsidRPr="00F35BB1">
        <w:rPr>
          <w:rFonts w:ascii="Calibri" w:hAnsi="Calibri" w:cs="Calibri"/>
          <w:sz w:val="16"/>
          <w:szCs w:val="16"/>
        </w:rPr>
        <w:t xml:space="preserve"> assumptions and/or LGBTIQ+ and other </w:t>
      </w:r>
      <w:proofErr w:type="spellStart"/>
      <w:r w:rsidRPr="00F35BB1">
        <w:rPr>
          <w:rFonts w:ascii="Calibri" w:hAnsi="Calibri" w:cs="Calibri"/>
          <w:sz w:val="16"/>
          <w:szCs w:val="16"/>
        </w:rPr>
        <w:t>anglo</w:t>
      </w:r>
      <w:proofErr w:type="spellEnd"/>
      <w:r w:rsidRPr="00F35BB1">
        <w:rPr>
          <w:rFonts w:ascii="Calibri" w:hAnsi="Calibri" w:cs="Calibri"/>
          <w:sz w:val="16"/>
          <w:szCs w:val="16"/>
        </w:rPr>
        <w:t>-centrist categories. In practice, various culturally, linguistically and context specific terms are used, where appropriate.”</w:t>
      </w:r>
    </w:p>
  </w:footnote>
  <w:footnote w:id="2">
    <w:p w14:paraId="548D85D5" w14:textId="77777777" w:rsidR="00AF5D99" w:rsidRPr="00F35BB1" w:rsidRDefault="00AF5D99" w:rsidP="00AF5D99">
      <w:pPr>
        <w:pStyle w:val="FootnoteText"/>
        <w:rPr>
          <w:rFonts w:ascii="Calibri" w:hAnsi="Calibri" w:cs="Calibri"/>
          <w:sz w:val="16"/>
          <w:szCs w:val="16"/>
        </w:rPr>
      </w:pPr>
      <w:r w:rsidRPr="00F35BB1">
        <w:rPr>
          <w:rStyle w:val="FootnoteReference"/>
          <w:rFonts w:ascii="Calibri" w:hAnsi="Calibri" w:cs="Calibri"/>
          <w:sz w:val="16"/>
          <w:szCs w:val="16"/>
        </w:rPr>
        <w:footnoteRef/>
      </w:r>
      <w:r w:rsidRPr="00F35BB1">
        <w:rPr>
          <w:rFonts w:ascii="Calibri" w:hAnsi="Calibri" w:cs="Calibri"/>
          <w:sz w:val="16"/>
          <w:szCs w:val="16"/>
        </w:rPr>
        <w:t xml:space="preserve"> </w:t>
      </w:r>
      <w:r w:rsidRPr="00F35BB1">
        <w:rPr>
          <w:rFonts w:ascii="Calibri" w:hAnsi="Calibri" w:cs="Calibri"/>
          <w:color w:val="000000"/>
          <w:sz w:val="16"/>
          <w:szCs w:val="16"/>
        </w:rPr>
        <w:t xml:space="preserve">OXFAM America, (2021). Queer Community in Crisis: Trauma, Inequality &amp; Vulnerability, available on </w:t>
      </w:r>
      <w:hyperlink r:id="rId1" w:history="1">
        <w:r w:rsidRPr="00F35BB1">
          <w:rPr>
            <w:rStyle w:val="Hyperlink"/>
            <w:rFonts w:ascii="Calibri" w:hAnsi="Calibri" w:cs="Calibri"/>
            <w:sz w:val="16"/>
            <w:szCs w:val="16"/>
          </w:rPr>
          <w:t>https://www.oxfamamerica.org/explore/research-publications/queer-community-in-crisis-trauma-inequality-vulnerability/</w:t>
        </w:r>
      </w:hyperlink>
      <w:r w:rsidRPr="00F35BB1">
        <w:rPr>
          <w:rFonts w:ascii="Calibri" w:hAnsi="Calibri" w:cs="Calibri"/>
          <w:color w:val="000000"/>
          <w:sz w:val="16"/>
          <w:szCs w:val="16"/>
        </w:rPr>
        <w:t xml:space="preserve"> </w:t>
      </w:r>
    </w:p>
  </w:footnote>
  <w:footnote w:id="3">
    <w:p w14:paraId="5454237B" w14:textId="77777777" w:rsidR="00AF5D99" w:rsidRPr="00F35BB1" w:rsidRDefault="00AF5D99" w:rsidP="00AF5D99">
      <w:pPr>
        <w:pStyle w:val="FootnoteText"/>
        <w:rPr>
          <w:rFonts w:ascii="Calibri" w:hAnsi="Calibri" w:cs="Calibri"/>
          <w:sz w:val="16"/>
          <w:szCs w:val="16"/>
        </w:rPr>
      </w:pPr>
      <w:r w:rsidRPr="00F35BB1">
        <w:rPr>
          <w:rStyle w:val="FootnoteReference"/>
          <w:rFonts w:ascii="Calibri" w:hAnsi="Calibri" w:cs="Calibri"/>
          <w:sz w:val="16"/>
          <w:szCs w:val="16"/>
        </w:rPr>
        <w:footnoteRef/>
      </w:r>
      <w:r w:rsidRPr="00F35BB1">
        <w:rPr>
          <w:rFonts w:ascii="Calibri" w:hAnsi="Calibri" w:cs="Calibri"/>
          <w:sz w:val="16"/>
          <w:szCs w:val="16"/>
        </w:rPr>
        <w:t xml:space="preserve"> </w:t>
      </w:r>
      <w:hyperlink r:id="rId2" w:history="1">
        <w:r w:rsidRPr="00F35BB1">
          <w:rPr>
            <w:rStyle w:val="Hyperlink"/>
            <w:rFonts w:ascii="Calibri" w:hAnsi="Calibri" w:cs="Calibri"/>
            <w:sz w:val="16"/>
            <w:szCs w:val="16"/>
          </w:rPr>
          <w:t>https://lebanon.un.org/index.php/en/126242-un-lebanon-response-idahobit-statement-addressed-united-nations-and-partners-support-rights</w:t>
        </w:r>
      </w:hyperlink>
      <w:r w:rsidRPr="00F35BB1">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E0689"/>
    <w:multiLevelType w:val="multilevel"/>
    <w:tmpl w:val="BF5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4F"/>
    <w:rsid w:val="00056439"/>
    <w:rsid w:val="004C4706"/>
    <w:rsid w:val="004F5B64"/>
    <w:rsid w:val="006F4E3E"/>
    <w:rsid w:val="00725E73"/>
    <w:rsid w:val="0074544F"/>
    <w:rsid w:val="008660EF"/>
    <w:rsid w:val="0096725D"/>
    <w:rsid w:val="00A3024A"/>
    <w:rsid w:val="00AF5D99"/>
    <w:rsid w:val="00BE2EBA"/>
    <w:rsid w:val="00C7785C"/>
    <w:rsid w:val="00CE3A6B"/>
    <w:rsid w:val="00FC2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A897"/>
  <w15:chartTrackingRefBased/>
  <w15:docId w15:val="{0AFB21EB-9383-4B12-AFC3-96E9A93B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74544F"/>
    <w:pPr>
      <w:spacing w:before="120" w:after="160" w:line="240" w:lineRule="exact"/>
    </w:pPr>
    <w:rPr>
      <w:rFonts w:ascii="Verdana" w:hAnsi="Verdana" w:cs="Arial"/>
      <w:sz w:val="20"/>
      <w:szCs w:val="20"/>
      <w:lang w:val="en-US"/>
    </w:rPr>
  </w:style>
  <w:style w:type="paragraph" w:styleId="ListParagraph">
    <w:name w:val="List Paragraph"/>
    <w:aliases w:val="List Paragraph (numbered (a)),List Paragraph1,Bullet List,FooterText,Colorful List Accent 1,numbered,Paragraphe de liste1,列出段落,列出段落1,Bulletr List Paragraph,List Paragraph2,List Paragraph21,Párrafo de lista1,Parágrafo da Lista1,リスト段落1,Plan"/>
    <w:basedOn w:val="Normal"/>
    <w:link w:val="ListParagraphChar"/>
    <w:uiPriority w:val="34"/>
    <w:qFormat/>
    <w:rsid w:val="0074544F"/>
    <w:pPr>
      <w:ind w:left="720"/>
      <w:contextualSpacing/>
    </w:pPr>
  </w:style>
  <w:style w:type="character" w:customStyle="1" w:styleId="ListParagraphChar">
    <w:name w:val="List Paragraph Char"/>
    <w:aliases w:val="List Paragraph (numbered (a)) Char,List Paragraph1 Char,Bullet List Char,FooterText Char,Colorful List Accent 1 Char,numbered Char,Paragraphe de liste1 Char,列出段落 Char,列出段落1 Char,Bulletr List Paragraph Char,List Paragraph2 Char"/>
    <w:link w:val="ListParagraph"/>
    <w:uiPriority w:val="34"/>
    <w:qFormat/>
    <w:locked/>
    <w:rsid w:val="0074544F"/>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AF5D99"/>
  </w:style>
  <w:style w:type="paragraph" w:styleId="FootnoteText">
    <w:name w:val="footnote text"/>
    <w:basedOn w:val="Normal"/>
    <w:link w:val="FootnoteTextChar"/>
    <w:uiPriority w:val="99"/>
    <w:semiHidden/>
    <w:unhideWhenUsed/>
    <w:rsid w:val="00AF5D99"/>
    <w:rPr>
      <w:rFonts w:ascii="Arial" w:hAnsi="Arial"/>
      <w:sz w:val="20"/>
      <w:szCs w:val="20"/>
      <w:lang w:val="en-US"/>
    </w:rPr>
  </w:style>
  <w:style w:type="character" w:customStyle="1" w:styleId="FootnoteTextChar">
    <w:name w:val="Footnote Text Char"/>
    <w:basedOn w:val="DefaultParagraphFont"/>
    <w:link w:val="FootnoteText"/>
    <w:uiPriority w:val="99"/>
    <w:semiHidden/>
    <w:rsid w:val="00AF5D9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F5D99"/>
    <w:rPr>
      <w:vertAlign w:val="superscript"/>
    </w:rPr>
  </w:style>
  <w:style w:type="character" w:styleId="Hyperlink">
    <w:name w:val="Hyperlink"/>
    <w:basedOn w:val="DefaultParagraphFont"/>
    <w:uiPriority w:val="99"/>
    <w:unhideWhenUsed/>
    <w:rsid w:val="00AF5D99"/>
    <w:rPr>
      <w:color w:val="0563C1" w:themeColor="hyperlink"/>
      <w:u w:val="single"/>
    </w:rPr>
  </w:style>
  <w:style w:type="paragraph" w:customStyle="1" w:styleId="m-247459320920481597msolistparagraph">
    <w:name w:val="m_-247459320920481597msolistparagraph"/>
    <w:basedOn w:val="Normal"/>
    <w:rsid w:val="004F5B6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0919">
      <w:bodyDiv w:val="1"/>
      <w:marLeft w:val="0"/>
      <w:marRight w:val="0"/>
      <w:marTop w:val="0"/>
      <w:marBottom w:val="0"/>
      <w:divBdr>
        <w:top w:val="none" w:sz="0" w:space="0" w:color="auto"/>
        <w:left w:val="none" w:sz="0" w:space="0" w:color="auto"/>
        <w:bottom w:val="none" w:sz="0" w:space="0" w:color="auto"/>
        <w:right w:val="none" w:sz="0" w:space="0" w:color="auto"/>
      </w:divBdr>
    </w:div>
    <w:div w:id="489567092">
      <w:bodyDiv w:val="1"/>
      <w:marLeft w:val="0"/>
      <w:marRight w:val="0"/>
      <w:marTop w:val="0"/>
      <w:marBottom w:val="0"/>
      <w:divBdr>
        <w:top w:val="none" w:sz="0" w:space="0" w:color="auto"/>
        <w:left w:val="none" w:sz="0" w:space="0" w:color="auto"/>
        <w:bottom w:val="none" w:sz="0" w:space="0" w:color="auto"/>
        <w:right w:val="none" w:sz="0" w:space="0" w:color="auto"/>
      </w:divBdr>
    </w:div>
    <w:div w:id="16566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lebanon.un.org/index.php/en/126242-un-lebanon-response-idahobit-statement-addressed-united-nations-and-partners-support-rights" TargetMode="External"/><Relationship Id="rId1" Type="http://schemas.openxmlformats.org/officeDocument/2006/relationships/hyperlink" Target="https://www.oxfamamerica.org/explore/research-publications/queer-community-in-crisis-trauma-inequality-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Talentino</dc:creator>
  <cp:keywords/>
  <dc:description/>
  <cp:lastModifiedBy>Roula</cp:lastModifiedBy>
  <cp:revision>4</cp:revision>
  <dcterms:created xsi:type="dcterms:W3CDTF">2021-10-15T08:04:00Z</dcterms:created>
  <dcterms:modified xsi:type="dcterms:W3CDTF">2021-10-15T08:11:00Z</dcterms:modified>
</cp:coreProperties>
</file>