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34A" w:rsidRPr="00237CE6" w:rsidRDefault="008B1803">
      <w:pPr>
        <w:jc w:val="center"/>
        <w:rPr>
          <w:rFonts w:asciiTheme="minorHAnsi" w:eastAsia="Calibri" w:hAnsiTheme="minorHAnsi" w:cstheme="minorHAnsi"/>
          <w:b/>
          <w:sz w:val="22"/>
          <w:szCs w:val="22"/>
        </w:rPr>
      </w:pPr>
      <w:r w:rsidRPr="00237CE6">
        <w:rPr>
          <w:rFonts w:asciiTheme="minorHAnsi" w:eastAsia="Calibri" w:hAnsiTheme="minorHAnsi" w:cstheme="minorHAnsi"/>
          <w:b/>
          <w:sz w:val="22"/>
          <w:szCs w:val="22"/>
        </w:rPr>
        <w:t>VACANCY ANNOUNCEMENT</w:t>
      </w:r>
    </w:p>
    <w:p w14:paraId="00000002" w14:textId="77777777" w:rsidR="00B1734A" w:rsidRPr="00237CE6" w:rsidRDefault="008B1803">
      <w:pPr>
        <w:jc w:val="center"/>
        <w:rPr>
          <w:rFonts w:asciiTheme="minorHAnsi" w:eastAsia="Calibri" w:hAnsiTheme="minorHAnsi" w:cstheme="minorHAnsi"/>
          <w:b/>
          <w:sz w:val="22"/>
          <w:szCs w:val="22"/>
        </w:rPr>
      </w:pPr>
      <w:r w:rsidRPr="00237CE6">
        <w:rPr>
          <w:rFonts w:asciiTheme="minorHAnsi" w:eastAsia="Calibri" w:hAnsiTheme="minorHAnsi" w:cstheme="minorHAnsi"/>
          <w:b/>
          <w:sz w:val="22"/>
          <w:szCs w:val="22"/>
        </w:rPr>
        <w:t xml:space="preserve">  FOR INDIVIDUAL CONSULTANT</w:t>
      </w:r>
    </w:p>
    <w:p w14:paraId="00000003" w14:textId="77777777" w:rsidR="00B1734A" w:rsidRPr="00237CE6" w:rsidRDefault="00B1734A">
      <w:pPr>
        <w:jc w:val="center"/>
        <w:rPr>
          <w:rFonts w:asciiTheme="minorHAnsi" w:eastAsia="Calibri" w:hAnsiTheme="minorHAnsi" w:cstheme="minorHAnsi"/>
          <w:b/>
          <w:sz w:val="22"/>
          <w:szCs w:val="22"/>
        </w:rPr>
      </w:pPr>
    </w:p>
    <w:p w14:paraId="00000004" w14:textId="77777777" w:rsidR="00B1734A" w:rsidRPr="00237CE6" w:rsidRDefault="00B1734A">
      <w:pPr>
        <w:jc w:val="center"/>
        <w:rPr>
          <w:rFonts w:asciiTheme="minorHAnsi" w:eastAsia="Calibri" w:hAnsiTheme="minorHAnsi" w:cstheme="minorHAnsi"/>
          <w:b/>
          <w:sz w:val="22"/>
          <w:szCs w:val="22"/>
        </w:rPr>
      </w:pPr>
    </w:p>
    <w:tbl>
      <w:tblPr>
        <w:tblStyle w:val="a"/>
        <w:tblW w:w="11057" w:type="dxa"/>
        <w:tblInd w:w="-8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72"/>
        <w:gridCol w:w="7985"/>
      </w:tblGrid>
      <w:tr w:rsidR="00B1734A" w:rsidRPr="00237CE6" w14:paraId="2D3B6BD8" w14:textId="77777777">
        <w:trPr>
          <w:trHeight w:val="410"/>
        </w:trPr>
        <w:tc>
          <w:tcPr>
            <w:tcW w:w="3072" w:type="dxa"/>
            <w:vAlign w:val="center"/>
          </w:tcPr>
          <w:p w14:paraId="00000005"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Official Job Title:</w:t>
            </w:r>
          </w:p>
        </w:tc>
        <w:tc>
          <w:tcPr>
            <w:tcW w:w="7985" w:type="dxa"/>
            <w:vAlign w:val="center"/>
          </w:tcPr>
          <w:p w14:paraId="00000006" w14:textId="4CDD9395" w:rsidR="00B1734A" w:rsidRPr="00237CE6" w:rsidRDefault="008B1803">
            <w:pPr>
              <w:rPr>
                <w:rFonts w:asciiTheme="minorHAnsi" w:eastAsia="Arial" w:hAnsiTheme="minorHAnsi" w:cstheme="minorHAnsi"/>
                <w:b/>
                <w:sz w:val="22"/>
                <w:szCs w:val="22"/>
              </w:rPr>
            </w:pPr>
            <w:r w:rsidRPr="00237CE6">
              <w:rPr>
                <w:rFonts w:asciiTheme="minorHAnsi" w:hAnsiTheme="minorHAnsi" w:cstheme="minorHAnsi"/>
                <w:b/>
                <w:bCs/>
                <w:sz w:val="22"/>
                <w:szCs w:val="22"/>
                <w:lang w:val="fr-FR"/>
              </w:rPr>
              <w:t xml:space="preserve">GBV &amp; </w:t>
            </w:r>
            <w:proofErr w:type="spellStart"/>
            <w:r w:rsidRPr="00237CE6">
              <w:rPr>
                <w:rFonts w:asciiTheme="minorHAnsi" w:hAnsiTheme="minorHAnsi" w:cstheme="minorHAnsi"/>
                <w:b/>
                <w:bCs/>
                <w:sz w:val="22"/>
                <w:szCs w:val="22"/>
                <w:lang w:val="fr-FR"/>
              </w:rPr>
              <w:t>Humanitarian</w:t>
            </w:r>
            <w:proofErr w:type="spellEnd"/>
            <w:r w:rsidRPr="00237CE6">
              <w:rPr>
                <w:rFonts w:asciiTheme="minorHAnsi" w:hAnsiTheme="minorHAnsi" w:cstheme="minorHAnsi"/>
                <w:b/>
                <w:bCs/>
                <w:sz w:val="22"/>
                <w:szCs w:val="22"/>
                <w:lang w:val="fr-FR"/>
              </w:rPr>
              <w:t xml:space="preserve"> </w:t>
            </w:r>
            <w:proofErr w:type="spellStart"/>
            <w:r w:rsidRPr="00237CE6">
              <w:rPr>
                <w:rFonts w:asciiTheme="minorHAnsi" w:hAnsiTheme="minorHAnsi" w:cstheme="minorHAnsi"/>
                <w:b/>
                <w:bCs/>
                <w:sz w:val="22"/>
                <w:szCs w:val="22"/>
                <w:lang w:val="fr-FR"/>
              </w:rPr>
              <w:t>Coordinator</w:t>
            </w:r>
            <w:proofErr w:type="spellEnd"/>
          </w:p>
        </w:tc>
      </w:tr>
      <w:tr w:rsidR="00B1734A" w:rsidRPr="00237CE6" w14:paraId="5BA502C7" w14:textId="77777777">
        <w:trPr>
          <w:trHeight w:val="410"/>
        </w:trPr>
        <w:tc>
          <w:tcPr>
            <w:tcW w:w="3072" w:type="dxa"/>
            <w:vAlign w:val="center"/>
          </w:tcPr>
          <w:p w14:paraId="00000007"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Duty Station</w:t>
            </w:r>
          </w:p>
        </w:tc>
        <w:tc>
          <w:tcPr>
            <w:tcW w:w="7985" w:type="dxa"/>
            <w:vAlign w:val="center"/>
          </w:tcPr>
          <w:p w14:paraId="00000008"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Lebanon, UNFPA Office</w:t>
            </w:r>
          </w:p>
        </w:tc>
      </w:tr>
      <w:tr w:rsidR="00B1734A" w:rsidRPr="00237CE6" w14:paraId="646866CE" w14:textId="77777777">
        <w:trPr>
          <w:trHeight w:val="410"/>
        </w:trPr>
        <w:tc>
          <w:tcPr>
            <w:tcW w:w="3072" w:type="dxa"/>
            <w:vAlign w:val="center"/>
          </w:tcPr>
          <w:p w14:paraId="00000009"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Hiring Office</w:t>
            </w:r>
          </w:p>
        </w:tc>
        <w:tc>
          <w:tcPr>
            <w:tcW w:w="7985" w:type="dxa"/>
            <w:vAlign w:val="center"/>
          </w:tcPr>
          <w:p w14:paraId="0000000A" w14:textId="77777777" w:rsidR="00B1734A" w:rsidRPr="00237CE6" w:rsidRDefault="008B1803">
            <w:pPr>
              <w:rPr>
                <w:rFonts w:asciiTheme="minorHAnsi" w:eastAsia="Arial" w:hAnsiTheme="minorHAnsi" w:cstheme="minorHAnsi"/>
                <w:b/>
                <w:sz w:val="22"/>
                <w:szCs w:val="22"/>
              </w:rPr>
            </w:pPr>
            <w:r w:rsidRPr="00237CE6">
              <w:rPr>
                <w:rFonts w:asciiTheme="minorHAnsi" w:eastAsia="Calibri" w:hAnsiTheme="minorHAnsi" w:cstheme="minorHAnsi"/>
                <w:sz w:val="22"/>
                <w:szCs w:val="22"/>
              </w:rPr>
              <w:t>UNFPA Lebanon</w:t>
            </w:r>
          </w:p>
        </w:tc>
      </w:tr>
      <w:tr w:rsidR="00B1734A" w:rsidRPr="00237CE6" w14:paraId="15BAB483" w14:textId="77777777">
        <w:trPr>
          <w:trHeight w:val="410"/>
        </w:trPr>
        <w:tc>
          <w:tcPr>
            <w:tcW w:w="3072" w:type="dxa"/>
            <w:vAlign w:val="center"/>
          </w:tcPr>
          <w:p w14:paraId="0000000B" w14:textId="77777777" w:rsidR="00B1734A" w:rsidRPr="00237CE6" w:rsidRDefault="006F5B86">
            <w:pPr>
              <w:rPr>
                <w:rFonts w:asciiTheme="minorHAnsi" w:eastAsia="Arial" w:hAnsiTheme="minorHAnsi" w:cstheme="minorHAnsi"/>
                <w:b/>
                <w:sz w:val="22"/>
                <w:szCs w:val="22"/>
              </w:rPr>
            </w:pPr>
            <w:sdt>
              <w:sdtPr>
                <w:rPr>
                  <w:rFonts w:asciiTheme="minorHAnsi" w:hAnsiTheme="minorHAnsi" w:cstheme="minorHAnsi"/>
                  <w:sz w:val="22"/>
                  <w:szCs w:val="22"/>
                </w:rPr>
                <w:tag w:val="goog_rdk_0"/>
                <w:id w:val="679082518"/>
              </w:sdtPr>
              <w:sdtEndPr/>
              <w:sdtContent/>
            </w:sdt>
            <w:r w:rsidR="008B1803" w:rsidRPr="00237CE6">
              <w:rPr>
                <w:rFonts w:asciiTheme="minorHAnsi" w:eastAsia="Arial" w:hAnsiTheme="minorHAnsi" w:cstheme="minorHAnsi"/>
                <w:b/>
                <w:sz w:val="22"/>
                <w:szCs w:val="22"/>
              </w:rPr>
              <w:t>Grade (Classified)</w:t>
            </w:r>
          </w:p>
        </w:tc>
        <w:tc>
          <w:tcPr>
            <w:tcW w:w="7985" w:type="dxa"/>
            <w:vAlign w:val="center"/>
          </w:tcPr>
          <w:p w14:paraId="0000000C" w14:textId="7BB7B0E1"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P4 (International Consultancy)</w:t>
            </w:r>
          </w:p>
        </w:tc>
      </w:tr>
      <w:tr w:rsidR="00B1734A" w:rsidRPr="00237CE6" w14:paraId="36ABCCD9" w14:textId="77777777">
        <w:trPr>
          <w:trHeight w:val="410"/>
        </w:trPr>
        <w:tc>
          <w:tcPr>
            <w:tcW w:w="3072" w:type="dxa"/>
            <w:vAlign w:val="center"/>
          </w:tcPr>
          <w:p w14:paraId="0000000D"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Vacancy Ref #</w:t>
            </w:r>
          </w:p>
        </w:tc>
        <w:tc>
          <w:tcPr>
            <w:tcW w:w="7985" w:type="dxa"/>
            <w:vAlign w:val="center"/>
          </w:tcPr>
          <w:p w14:paraId="0000000E" w14:textId="0AE35689" w:rsidR="00B1734A" w:rsidRPr="00237CE6" w:rsidRDefault="008B1803" w:rsidP="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highlight w:val="yellow"/>
              </w:rPr>
              <w:t>UNFPA/LBN/2022/</w:t>
            </w:r>
            <w:r w:rsidRPr="00237CE6">
              <w:rPr>
                <w:rFonts w:asciiTheme="minorHAnsi" w:eastAsia="Arial" w:hAnsiTheme="minorHAnsi" w:cstheme="minorHAnsi"/>
                <w:b/>
                <w:sz w:val="22"/>
                <w:szCs w:val="22"/>
              </w:rPr>
              <w:t>002</w:t>
            </w:r>
          </w:p>
        </w:tc>
      </w:tr>
      <w:tr w:rsidR="00B1734A" w:rsidRPr="00237CE6" w14:paraId="77DE70B4" w14:textId="77777777">
        <w:trPr>
          <w:trHeight w:val="410"/>
        </w:trPr>
        <w:tc>
          <w:tcPr>
            <w:tcW w:w="3072" w:type="dxa"/>
            <w:vAlign w:val="center"/>
          </w:tcPr>
          <w:p w14:paraId="0000000F"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Duration</w:t>
            </w:r>
          </w:p>
        </w:tc>
        <w:tc>
          <w:tcPr>
            <w:tcW w:w="7985" w:type="dxa"/>
            <w:vAlign w:val="center"/>
          </w:tcPr>
          <w:p w14:paraId="00000010" w14:textId="00E631BF"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6 months</w:t>
            </w:r>
          </w:p>
        </w:tc>
      </w:tr>
      <w:tr w:rsidR="00B1734A" w:rsidRPr="00237CE6" w14:paraId="2B969B5C" w14:textId="77777777">
        <w:trPr>
          <w:trHeight w:val="142"/>
        </w:trPr>
        <w:tc>
          <w:tcPr>
            <w:tcW w:w="3072" w:type="dxa"/>
            <w:vAlign w:val="center"/>
          </w:tcPr>
          <w:p w14:paraId="00000011"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Start-up Date</w:t>
            </w:r>
          </w:p>
        </w:tc>
        <w:tc>
          <w:tcPr>
            <w:tcW w:w="7985" w:type="dxa"/>
            <w:vAlign w:val="center"/>
          </w:tcPr>
          <w:p w14:paraId="00000012" w14:textId="77777777" w:rsidR="00B1734A" w:rsidRPr="00237CE6" w:rsidRDefault="008B1803">
            <w:pPr>
              <w:rPr>
                <w:rFonts w:asciiTheme="minorHAnsi" w:eastAsia="Arial" w:hAnsiTheme="minorHAnsi" w:cstheme="minorHAnsi"/>
                <w:b/>
                <w:sz w:val="22"/>
                <w:szCs w:val="22"/>
              </w:rPr>
            </w:pPr>
            <w:r w:rsidRPr="00237CE6">
              <w:rPr>
                <w:rFonts w:asciiTheme="minorHAnsi" w:eastAsia="Arial" w:hAnsiTheme="minorHAnsi" w:cstheme="minorHAnsi"/>
                <w:b/>
                <w:sz w:val="22"/>
                <w:szCs w:val="22"/>
              </w:rPr>
              <w:t>1 February to 31 July 2022 on full time basis</w:t>
            </w:r>
          </w:p>
        </w:tc>
      </w:tr>
    </w:tbl>
    <w:p w14:paraId="00000013" w14:textId="77777777" w:rsidR="00B1734A" w:rsidRPr="00237CE6" w:rsidRDefault="00B1734A">
      <w:pPr>
        <w:jc w:val="center"/>
        <w:rPr>
          <w:rFonts w:asciiTheme="minorHAnsi" w:eastAsia="Calibri" w:hAnsiTheme="minorHAnsi" w:cstheme="minorHAnsi"/>
          <w:b/>
          <w:sz w:val="22"/>
          <w:szCs w:val="22"/>
        </w:rPr>
      </w:pPr>
    </w:p>
    <w:tbl>
      <w:tblPr>
        <w:tblStyle w:val="a0"/>
        <w:tblW w:w="11070" w:type="dxa"/>
        <w:tblInd w:w="-833" w:type="dxa"/>
        <w:tblLayout w:type="fixed"/>
        <w:tblLook w:val="0000" w:firstRow="0" w:lastRow="0" w:firstColumn="0" w:lastColumn="0" w:noHBand="0" w:noVBand="0"/>
      </w:tblPr>
      <w:tblGrid>
        <w:gridCol w:w="2730"/>
        <w:gridCol w:w="8340"/>
      </w:tblGrid>
      <w:tr w:rsidR="00B1734A" w:rsidRPr="00237CE6" w14:paraId="4BD2D689" w14:textId="77777777">
        <w:trPr>
          <w:trHeight w:val="216"/>
        </w:trPr>
        <w:tc>
          <w:tcPr>
            <w:tcW w:w="11070"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14" w14:textId="77777777" w:rsidR="00B1734A" w:rsidRPr="00237CE6" w:rsidRDefault="008B1803">
            <w:pPr>
              <w:tabs>
                <w:tab w:val="left" w:pos="-720"/>
              </w:tabs>
              <w:spacing w:before="109" w:after="54"/>
              <w:rPr>
                <w:rFonts w:asciiTheme="minorHAnsi" w:eastAsia="Calibri" w:hAnsiTheme="minorHAnsi" w:cstheme="minorHAnsi"/>
                <w:b/>
                <w:sz w:val="22"/>
                <w:szCs w:val="22"/>
              </w:rPr>
            </w:pPr>
            <w:r w:rsidRPr="00237CE6">
              <w:rPr>
                <w:rFonts w:asciiTheme="minorHAnsi" w:eastAsia="Calibri" w:hAnsiTheme="minorHAnsi" w:cstheme="minorHAnsi"/>
                <w:b/>
                <w:sz w:val="22"/>
                <w:szCs w:val="22"/>
              </w:rPr>
              <w:t xml:space="preserve">TERMS OF REFERENCE </w:t>
            </w:r>
          </w:p>
        </w:tc>
      </w:tr>
      <w:tr w:rsidR="00B1734A" w:rsidRPr="00237CE6" w14:paraId="727D35DC" w14:textId="77777777">
        <w:trPr>
          <w:trHeight w:val="6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6" w14:textId="77777777" w:rsidR="00B1734A" w:rsidRPr="00237CE6" w:rsidRDefault="008B1803">
            <w:pPr>
              <w:tabs>
                <w:tab w:val="left" w:pos="-720"/>
              </w:tabs>
              <w:spacing w:before="40" w:after="54"/>
              <w:jc w:val="both"/>
              <w:rPr>
                <w:rFonts w:asciiTheme="minorHAnsi" w:eastAsia="Calibri" w:hAnsiTheme="minorHAnsi" w:cstheme="minorHAnsi"/>
                <w:sz w:val="22"/>
                <w:szCs w:val="22"/>
              </w:rPr>
            </w:pPr>
            <w:r w:rsidRPr="00237CE6">
              <w:rPr>
                <w:rFonts w:asciiTheme="minorHAnsi" w:eastAsia="Calibri" w:hAnsiTheme="minorHAnsi" w:cstheme="minorHAnsi"/>
                <w:sz w:val="22"/>
                <w:szCs w:val="22"/>
              </w:rPr>
              <w:t>Purpose of consultancy: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69C0A6A" w14:textId="77777777" w:rsidR="008B1803" w:rsidRPr="00237CE6" w:rsidRDefault="008B1803" w:rsidP="008B1803">
            <w:pPr>
              <w:rPr>
                <w:rFonts w:asciiTheme="minorHAnsi" w:hAnsiTheme="minorHAnsi" w:cstheme="minorHAnsi"/>
                <w:sz w:val="22"/>
                <w:szCs w:val="22"/>
              </w:rPr>
            </w:pPr>
            <w:r w:rsidRPr="00237CE6">
              <w:rPr>
                <w:rFonts w:asciiTheme="minorHAnsi" w:hAnsiTheme="minorHAnsi" w:cstheme="minorHAnsi"/>
                <w:sz w:val="22"/>
                <w:szCs w:val="22"/>
              </w:rPr>
              <w:t xml:space="preserve">Under the overall supervision of the UNFPA Head of Office, the consultant </w:t>
            </w:r>
            <w:proofErr w:type="gramStart"/>
            <w:r w:rsidRPr="00237CE6">
              <w:rPr>
                <w:rFonts w:asciiTheme="minorHAnsi" w:hAnsiTheme="minorHAnsi" w:cstheme="minorHAnsi"/>
                <w:sz w:val="22"/>
                <w:szCs w:val="22"/>
              </w:rPr>
              <w:t>lead</w:t>
            </w:r>
            <w:proofErr w:type="gramEnd"/>
            <w:r w:rsidRPr="00237CE6">
              <w:rPr>
                <w:rFonts w:asciiTheme="minorHAnsi" w:hAnsiTheme="minorHAnsi" w:cstheme="minorHAnsi"/>
                <w:sz w:val="22"/>
                <w:szCs w:val="22"/>
              </w:rPr>
              <w:t xml:space="preserve"> the coordination of the GBV sector under the different coordination structures existing in Lebanon. Her/His tasks will include sector coordination related duties focusing </w:t>
            </w:r>
            <w:proofErr w:type="gramStart"/>
            <w:r w:rsidRPr="00237CE6">
              <w:rPr>
                <w:rFonts w:asciiTheme="minorHAnsi" w:hAnsiTheme="minorHAnsi" w:cstheme="minorHAnsi"/>
                <w:sz w:val="22"/>
                <w:szCs w:val="22"/>
              </w:rPr>
              <w:t>on:</w:t>
            </w:r>
            <w:proofErr w:type="gramEnd"/>
            <w:r w:rsidRPr="00237CE6">
              <w:rPr>
                <w:rFonts w:asciiTheme="minorHAnsi" w:hAnsiTheme="minorHAnsi" w:cstheme="minorHAnsi"/>
                <w:sz w:val="22"/>
                <w:szCs w:val="22"/>
              </w:rPr>
              <w:t xml:space="preserve">  building and sustaining partnerships, strategic planning, capacity development, advocacy, and information management. The incumbent will also assume the role of humanitarian coordinator. This will entail support to resources mobilization, preparedness efforts and reporting.</w:t>
            </w:r>
          </w:p>
          <w:p w14:paraId="00000017" w14:textId="77777777" w:rsidR="00B1734A" w:rsidRPr="00237CE6" w:rsidRDefault="00B1734A">
            <w:pPr>
              <w:rPr>
                <w:rFonts w:asciiTheme="minorHAnsi" w:eastAsia="Cambria" w:hAnsiTheme="minorHAnsi" w:cstheme="minorHAnsi"/>
                <w:sz w:val="22"/>
                <w:szCs w:val="22"/>
              </w:rPr>
            </w:pPr>
          </w:p>
        </w:tc>
      </w:tr>
      <w:tr w:rsidR="008B1803" w:rsidRPr="00237CE6" w14:paraId="48882EEF" w14:textId="77777777">
        <w:trPr>
          <w:trHeight w:val="169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8"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t>Scope of work:</w:t>
            </w:r>
          </w:p>
          <w:p w14:paraId="00000019"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p>
          <w:p w14:paraId="0000001A" w14:textId="77777777" w:rsidR="008B1803" w:rsidRPr="00237CE6" w:rsidRDefault="008B1803" w:rsidP="008B1803">
            <w:pPr>
              <w:tabs>
                <w:tab w:val="left" w:pos="-720"/>
              </w:tabs>
              <w:spacing w:before="40" w:after="54"/>
              <w:rPr>
                <w:rFonts w:asciiTheme="minorHAnsi" w:eastAsia="Calibri" w:hAnsiTheme="minorHAnsi" w:cstheme="minorHAnsi"/>
                <w:i/>
                <w:sz w:val="22"/>
                <w:szCs w:val="22"/>
              </w:rPr>
            </w:pPr>
            <w:r w:rsidRPr="00237CE6">
              <w:rPr>
                <w:rFonts w:asciiTheme="minorHAnsi" w:eastAsia="Calibri" w:hAnsiTheme="minorHAnsi" w:cstheme="minorHAnsi"/>
                <w:i/>
                <w:sz w:val="22"/>
                <w:szCs w:val="22"/>
              </w:rPr>
              <w:t>(Description of services, activities, or outputs)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62F95E1"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i/>
                <w:sz w:val="22"/>
                <w:szCs w:val="22"/>
              </w:rPr>
            </w:pPr>
            <w:r w:rsidRPr="00237CE6">
              <w:rPr>
                <w:rFonts w:asciiTheme="minorHAnsi" w:hAnsiTheme="minorHAnsi" w:cstheme="minorHAnsi"/>
                <w:b/>
                <w:i/>
                <w:sz w:val="22"/>
                <w:szCs w:val="22"/>
              </w:rPr>
              <w:t xml:space="preserve">Building and Sustaining Partnerships </w:t>
            </w:r>
          </w:p>
          <w:p w14:paraId="7A95AA2F"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t xml:space="preserve">Facilitate inter-agency, multi-sectoral GBV coordination group (the SGBV Task Force and the GBV sector under the ERP). Promote, </w:t>
            </w:r>
            <w:proofErr w:type="gramStart"/>
            <w:r w:rsidRPr="00237CE6">
              <w:rPr>
                <w:rFonts w:asciiTheme="minorHAnsi" w:hAnsiTheme="minorHAnsi" w:cstheme="minorHAnsi"/>
                <w:sz w:val="22"/>
                <w:szCs w:val="22"/>
              </w:rPr>
              <w:t>respect</w:t>
            </w:r>
            <w:proofErr w:type="gramEnd"/>
            <w:r w:rsidRPr="00237CE6">
              <w:rPr>
                <w:rFonts w:asciiTheme="minorHAnsi" w:hAnsiTheme="minorHAnsi" w:cstheme="minorHAnsi"/>
                <w:sz w:val="22"/>
                <w:szCs w:val="22"/>
              </w:rPr>
              <w:t xml:space="preserve"> and ensure that the </w:t>
            </w:r>
            <w:r w:rsidRPr="00237CE6">
              <w:rPr>
                <w:rFonts w:asciiTheme="minorHAnsi" w:hAnsiTheme="minorHAnsi" w:cstheme="minorHAnsi"/>
                <w:i/>
                <w:sz w:val="22"/>
                <w:szCs w:val="22"/>
              </w:rPr>
              <w:t>Principles of Partnership</w:t>
            </w:r>
            <w:r w:rsidRPr="00237CE6">
              <w:rPr>
                <w:rFonts w:asciiTheme="minorHAnsi" w:hAnsiTheme="minorHAnsi" w:cstheme="minorHAnsi"/>
                <w:sz w:val="22"/>
                <w:szCs w:val="22"/>
              </w:rPr>
              <w:t xml:space="preserve"> are reflected in the day-to-day work of the GBV sub-sector.</w:t>
            </w:r>
          </w:p>
          <w:p w14:paraId="5AAEB7EC"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t>Establish result-oriented, two-way communication channels between national and sub-national GBV coordination groups to ensure a standardized response to GBV.</w:t>
            </w:r>
          </w:p>
          <w:p w14:paraId="7BD2B378"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lastRenderedPageBreak/>
              <w:t>Proactively engage with all relevant stakeholders to ensure coordination bodies reflect the range of actors addressing GBV, including across multiple sectors and categories of actors (UN, NGO, civil society, government, etc.).</w:t>
            </w:r>
          </w:p>
          <w:p w14:paraId="5D3C0185"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t xml:space="preserve">Regularly represent the GBV sub-sector in Protection sector meetings, OCHA-led </w:t>
            </w:r>
            <w:proofErr w:type="gramStart"/>
            <w:r w:rsidRPr="00237CE6">
              <w:rPr>
                <w:rFonts w:asciiTheme="minorHAnsi" w:hAnsiTheme="minorHAnsi" w:cstheme="minorHAnsi"/>
                <w:sz w:val="22"/>
                <w:szCs w:val="22"/>
              </w:rPr>
              <w:t>meetings</w:t>
            </w:r>
            <w:proofErr w:type="gramEnd"/>
            <w:r w:rsidRPr="00237CE6">
              <w:rPr>
                <w:rFonts w:asciiTheme="minorHAnsi" w:hAnsiTheme="minorHAnsi" w:cstheme="minorHAnsi"/>
                <w:sz w:val="22"/>
                <w:szCs w:val="22"/>
              </w:rPr>
              <w:t xml:space="preserve"> and other relevant meetings, including those called by the Humanitarian Coordinator.</w:t>
            </w:r>
          </w:p>
          <w:p w14:paraId="62134021"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t>Coordinate and collaborate with other sectors/working groups such as the Health sector, Child Protection Sub-</w:t>
            </w:r>
            <w:proofErr w:type="gramStart"/>
            <w:r w:rsidRPr="00237CE6">
              <w:rPr>
                <w:rFonts w:asciiTheme="minorHAnsi" w:hAnsiTheme="minorHAnsi" w:cstheme="minorHAnsi"/>
                <w:sz w:val="22"/>
                <w:szCs w:val="22"/>
              </w:rPr>
              <w:t>sector ,</w:t>
            </w:r>
            <w:proofErr w:type="gramEnd"/>
            <w:r w:rsidRPr="00237CE6">
              <w:rPr>
                <w:rFonts w:asciiTheme="minorHAnsi" w:hAnsiTheme="minorHAnsi" w:cstheme="minorHAnsi"/>
                <w:sz w:val="22"/>
                <w:szCs w:val="22"/>
              </w:rPr>
              <w:t xml:space="preserve"> Shelter/NFI sector , Food Security sector, Education sector, Mental Health and Psychosocial Support Working Group, etc. to ensure integration of GBV-related action in their sector plans and to advocate for joint awareness-raising for non-GBV specialists.</w:t>
            </w:r>
          </w:p>
          <w:p w14:paraId="179012A6"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t>Advocate with donors and mobilize resources for inter-agency GBV prevention and response in line with GBV sub-sector work plan and SRP. As necessary, leverage resources within UNFPA to support inter-agency GBV activities under the Sub-sector.</w:t>
            </w:r>
          </w:p>
          <w:p w14:paraId="0D2829EC"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t>In consultation with non-governmental GBV actors and national civil society, identify appropriate mechanisms for working with and collaborating with national authorities on GBV issues.</w:t>
            </w:r>
          </w:p>
          <w:p w14:paraId="58DCFE60" w14:textId="77777777" w:rsidR="008B1803" w:rsidRPr="00237CE6" w:rsidRDefault="008B1803" w:rsidP="008B1803">
            <w:pPr>
              <w:numPr>
                <w:ilvl w:val="0"/>
                <w:numId w:val="5"/>
              </w:numPr>
              <w:rPr>
                <w:rFonts w:asciiTheme="minorHAnsi" w:hAnsiTheme="minorHAnsi" w:cstheme="minorHAnsi"/>
                <w:sz w:val="22"/>
                <w:szCs w:val="22"/>
              </w:rPr>
            </w:pPr>
            <w:r w:rsidRPr="00237CE6">
              <w:rPr>
                <w:rFonts w:asciiTheme="minorHAnsi" w:hAnsiTheme="minorHAnsi" w:cstheme="minorHAnsi"/>
                <w:sz w:val="22"/>
                <w:szCs w:val="22"/>
              </w:rPr>
              <w:t xml:space="preserve">Support the roll out of the GBV case management capacity building initiative </w:t>
            </w:r>
          </w:p>
          <w:p w14:paraId="31179932"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14:paraId="715CD15A"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i/>
                <w:sz w:val="22"/>
                <w:szCs w:val="22"/>
              </w:rPr>
            </w:pPr>
            <w:r w:rsidRPr="00237CE6">
              <w:rPr>
                <w:rFonts w:asciiTheme="minorHAnsi" w:hAnsiTheme="minorHAnsi" w:cstheme="minorHAnsi"/>
                <w:b/>
                <w:i/>
                <w:sz w:val="22"/>
                <w:szCs w:val="22"/>
              </w:rPr>
              <w:t>Strategic Planning</w:t>
            </w:r>
          </w:p>
          <w:p w14:paraId="10D860C2" w14:textId="77777777" w:rsidR="008B1803" w:rsidRPr="00237CE6" w:rsidRDefault="008B1803" w:rsidP="008B1803">
            <w:pPr>
              <w:numPr>
                <w:ilvl w:val="0"/>
                <w:numId w:val="4"/>
              </w:numPr>
              <w:rPr>
                <w:rFonts w:asciiTheme="minorHAnsi" w:hAnsiTheme="minorHAnsi" w:cstheme="minorHAnsi"/>
                <w:sz w:val="22"/>
                <w:szCs w:val="22"/>
              </w:rPr>
            </w:pPr>
            <w:r w:rsidRPr="00237CE6">
              <w:rPr>
                <w:rFonts w:asciiTheme="minorHAnsi" w:hAnsiTheme="minorHAnsi" w:cstheme="minorHAnsi"/>
                <w:sz w:val="22"/>
                <w:szCs w:val="22"/>
              </w:rPr>
              <w:t>Facilitate implementation of Standard Operating Procedures. Regularly review and revisit SOPs at strategic points throughout the crisis response.</w:t>
            </w:r>
          </w:p>
          <w:p w14:paraId="5804BE14" w14:textId="77777777" w:rsidR="008B1803" w:rsidRPr="00237CE6" w:rsidRDefault="008B1803" w:rsidP="008B1803">
            <w:pPr>
              <w:numPr>
                <w:ilvl w:val="0"/>
                <w:numId w:val="4"/>
              </w:numPr>
              <w:rPr>
                <w:rFonts w:asciiTheme="minorHAnsi" w:hAnsiTheme="minorHAnsi" w:cstheme="minorHAnsi"/>
                <w:sz w:val="22"/>
                <w:szCs w:val="22"/>
              </w:rPr>
            </w:pPr>
            <w:r w:rsidRPr="00237CE6">
              <w:rPr>
                <w:rFonts w:asciiTheme="minorHAnsi" w:hAnsiTheme="minorHAnsi" w:cstheme="minorHAnsi"/>
                <w:sz w:val="22"/>
                <w:szCs w:val="22"/>
              </w:rPr>
              <w:t>In collaboration with national and international GBV actors, map current institutional response capacities, including facilitating mapping of GBV-specific mapping</w:t>
            </w:r>
          </w:p>
          <w:p w14:paraId="48FCE9AB" w14:textId="77777777" w:rsidR="008B1803" w:rsidRPr="00237CE6" w:rsidRDefault="008B1803" w:rsidP="008B1803">
            <w:pPr>
              <w:numPr>
                <w:ilvl w:val="0"/>
                <w:numId w:val="4"/>
              </w:numPr>
              <w:rPr>
                <w:rFonts w:asciiTheme="minorHAnsi" w:hAnsiTheme="minorHAnsi" w:cstheme="minorHAnsi"/>
                <w:sz w:val="22"/>
                <w:szCs w:val="22"/>
              </w:rPr>
            </w:pPr>
            <w:r w:rsidRPr="00237CE6">
              <w:rPr>
                <w:rFonts w:asciiTheme="minorHAnsi" w:hAnsiTheme="minorHAnsi" w:cstheme="minorHAnsi"/>
                <w:sz w:val="22"/>
                <w:szCs w:val="22"/>
              </w:rPr>
              <w:t>Lead a process to develop a realistic, evidence-based multi-sectoral and inter-agency prevention and response plan. Promote engagement of a range of sectors and ensure realistic benchmarks and timelines for achieving set objectives. Regularly monitor progress against plans during coordination meetings. Allow space for new actors to engage with a plan over the course of the crisis response.</w:t>
            </w:r>
          </w:p>
          <w:p w14:paraId="299D2E3F" w14:textId="77777777" w:rsidR="008B1803" w:rsidRPr="00237CE6" w:rsidRDefault="008B1803" w:rsidP="008B1803">
            <w:pPr>
              <w:numPr>
                <w:ilvl w:val="0"/>
                <w:numId w:val="4"/>
              </w:numPr>
              <w:rPr>
                <w:rFonts w:asciiTheme="minorHAnsi" w:hAnsiTheme="minorHAnsi" w:cstheme="minorHAnsi"/>
                <w:sz w:val="22"/>
                <w:szCs w:val="22"/>
              </w:rPr>
            </w:pPr>
            <w:r w:rsidRPr="00237CE6">
              <w:rPr>
                <w:rFonts w:asciiTheme="minorHAnsi" w:hAnsiTheme="minorHAnsi" w:cstheme="minorHAnsi"/>
                <w:sz w:val="22"/>
                <w:szCs w:val="22"/>
              </w:rPr>
              <w:t xml:space="preserve">Work with partners to continually identify response gaps in line with proposed work plans (including geographic coverage and programmatic scope) and seek </w:t>
            </w:r>
            <w:r w:rsidRPr="00237CE6">
              <w:rPr>
                <w:rFonts w:asciiTheme="minorHAnsi" w:hAnsiTheme="minorHAnsi" w:cstheme="minorHAnsi"/>
                <w:sz w:val="22"/>
                <w:szCs w:val="22"/>
              </w:rPr>
              <w:lastRenderedPageBreak/>
              <w:t>solutions to fill gaps. Advocates with UNFPA as sub-cluster lead to address gaps not yet filled by partners.</w:t>
            </w:r>
          </w:p>
          <w:p w14:paraId="0E03FAA9"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14:paraId="49B3DBB8"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r w:rsidRPr="00237CE6">
              <w:rPr>
                <w:rFonts w:asciiTheme="minorHAnsi" w:hAnsiTheme="minorHAnsi" w:cstheme="minorHAnsi"/>
                <w:b/>
                <w:i/>
                <w:sz w:val="22"/>
                <w:szCs w:val="22"/>
              </w:rPr>
              <w:t>Capacity Development</w:t>
            </w:r>
          </w:p>
          <w:p w14:paraId="1400EFC6" w14:textId="77777777" w:rsidR="008B1803" w:rsidRPr="00237CE6" w:rsidRDefault="008B1803" w:rsidP="008B1803">
            <w:pPr>
              <w:numPr>
                <w:ilvl w:val="0"/>
                <w:numId w:val="6"/>
              </w:numPr>
              <w:rPr>
                <w:rFonts w:asciiTheme="minorHAnsi" w:hAnsiTheme="minorHAnsi" w:cstheme="minorHAnsi"/>
                <w:sz w:val="22"/>
                <w:szCs w:val="22"/>
              </w:rPr>
            </w:pPr>
            <w:r w:rsidRPr="00237CE6">
              <w:rPr>
                <w:rFonts w:asciiTheme="minorHAnsi" w:hAnsiTheme="minorHAnsi" w:cstheme="minorHAnsi"/>
                <w:sz w:val="22"/>
                <w:szCs w:val="22"/>
              </w:rPr>
              <w:t>Work with partners to develop an inter-agency GBV capacity development strategy that meets the needs and priorities of key national and local stakeholders to facilitate implementation of agreed work plan.</w:t>
            </w:r>
          </w:p>
          <w:p w14:paraId="02FB2ED0" w14:textId="77777777" w:rsidR="008B1803" w:rsidRPr="00237CE6" w:rsidRDefault="008B1803" w:rsidP="008B1803">
            <w:pPr>
              <w:numPr>
                <w:ilvl w:val="0"/>
                <w:numId w:val="6"/>
              </w:numPr>
              <w:rPr>
                <w:rFonts w:asciiTheme="minorHAnsi" w:hAnsiTheme="minorHAnsi" w:cstheme="minorHAnsi"/>
                <w:sz w:val="22"/>
                <w:szCs w:val="22"/>
              </w:rPr>
            </w:pPr>
            <w:r w:rsidRPr="00237CE6">
              <w:rPr>
                <w:rFonts w:asciiTheme="minorHAnsi" w:hAnsiTheme="minorHAnsi" w:cstheme="minorHAnsi"/>
                <w:sz w:val="22"/>
                <w:szCs w:val="22"/>
              </w:rPr>
              <w:t>Support efforts to strengthen the capacity of sub-sector members on planning and responding to GBV in emergencies and on safe and ethical GBV information management.</w:t>
            </w:r>
          </w:p>
          <w:p w14:paraId="793F97A8" w14:textId="77777777" w:rsidR="008B1803" w:rsidRPr="00237CE6" w:rsidRDefault="008B1803" w:rsidP="008B1803">
            <w:pPr>
              <w:numPr>
                <w:ilvl w:val="0"/>
                <w:numId w:val="6"/>
              </w:numPr>
              <w:rPr>
                <w:rFonts w:asciiTheme="minorHAnsi" w:hAnsiTheme="minorHAnsi" w:cstheme="minorHAnsi"/>
                <w:sz w:val="22"/>
                <w:szCs w:val="22"/>
              </w:rPr>
            </w:pPr>
            <w:r w:rsidRPr="00237CE6">
              <w:rPr>
                <w:rFonts w:asciiTheme="minorHAnsi" w:hAnsiTheme="minorHAnsi" w:cstheme="minorHAnsi"/>
                <w:sz w:val="22"/>
                <w:szCs w:val="22"/>
              </w:rPr>
              <w:t>Ensure all GBV sub-sector partners and others are aware of relevant policy guidelines, technical standards, and other resource materials.</w:t>
            </w:r>
          </w:p>
          <w:p w14:paraId="17AA0DC9"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14:paraId="71DF84E6"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i/>
                <w:sz w:val="22"/>
                <w:szCs w:val="22"/>
              </w:rPr>
            </w:pPr>
            <w:r w:rsidRPr="00237CE6">
              <w:rPr>
                <w:rFonts w:asciiTheme="minorHAnsi" w:hAnsiTheme="minorHAnsi" w:cstheme="minorHAnsi"/>
                <w:b/>
                <w:i/>
                <w:sz w:val="22"/>
                <w:szCs w:val="22"/>
              </w:rPr>
              <w:t>Advocacy</w:t>
            </w:r>
          </w:p>
          <w:p w14:paraId="26FA6431" w14:textId="77777777" w:rsidR="008B1803" w:rsidRPr="00237CE6" w:rsidRDefault="008B1803" w:rsidP="008B1803">
            <w:pPr>
              <w:numPr>
                <w:ilvl w:val="0"/>
                <w:numId w:val="8"/>
              </w:numPr>
              <w:rPr>
                <w:rFonts w:asciiTheme="minorHAnsi" w:hAnsiTheme="minorHAnsi" w:cstheme="minorHAnsi"/>
                <w:sz w:val="22"/>
                <w:szCs w:val="22"/>
              </w:rPr>
            </w:pPr>
            <w:r w:rsidRPr="00237CE6">
              <w:rPr>
                <w:rFonts w:asciiTheme="minorHAnsi" w:hAnsiTheme="minorHAnsi" w:cstheme="minorHAnsi"/>
                <w:sz w:val="22"/>
                <w:szCs w:val="22"/>
              </w:rPr>
              <w:t>Provide technical support to the development of relevant advocacy and policy documents to address GBV in the context of broader gender inequality issues.</w:t>
            </w:r>
          </w:p>
          <w:p w14:paraId="6EE2705C" w14:textId="77777777" w:rsidR="008B1803" w:rsidRPr="00237CE6" w:rsidRDefault="008B1803" w:rsidP="008B1803">
            <w:pPr>
              <w:numPr>
                <w:ilvl w:val="0"/>
                <w:numId w:val="8"/>
              </w:numPr>
              <w:rPr>
                <w:rFonts w:asciiTheme="minorHAnsi" w:hAnsiTheme="minorHAnsi" w:cstheme="minorHAnsi"/>
                <w:sz w:val="22"/>
                <w:szCs w:val="22"/>
              </w:rPr>
            </w:pPr>
            <w:r w:rsidRPr="00237CE6">
              <w:rPr>
                <w:rFonts w:asciiTheme="minorHAnsi" w:hAnsiTheme="minorHAnsi" w:cstheme="minorHAnsi"/>
                <w:sz w:val="22"/>
                <w:szCs w:val="22"/>
              </w:rPr>
              <w:t>Promote awareness of national laws and policies that inform action to address GBV.</w:t>
            </w:r>
          </w:p>
          <w:p w14:paraId="7FFD5AFA"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sz w:val="22"/>
                <w:szCs w:val="22"/>
              </w:rPr>
            </w:pPr>
          </w:p>
          <w:p w14:paraId="359815D8" w14:textId="77777777" w:rsidR="008B1803" w:rsidRPr="00237CE6" w:rsidRDefault="008B1803" w:rsidP="008B1803">
            <w:pPr>
              <w:pBdr>
                <w:top w:val="none" w:sz="0" w:space="0" w:color="000000"/>
                <w:left w:val="none" w:sz="0" w:space="0" w:color="000000"/>
                <w:bottom w:val="none" w:sz="0" w:space="0" w:color="000000"/>
                <w:right w:val="none" w:sz="0" w:space="0" w:color="000000"/>
                <w:between w:val="none" w:sz="0" w:space="0" w:color="000000"/>
              </w:pBdr>
              <w:rPr>
                <w:rFonts w:asciiTheme="minorHAnsi" w:hAnsiTheme="minorHAnsi" w:cstheme="minorHAnsi"/>
                <w:b/>
                <w:i/>
                <w:sz w:val="22"/>
                <w:szCs w:val="22"/>
              </w:rPr>
            </w:pPr>
            <w:r w:rsidRPr="00237CE6">
              <w:rPr>
                <w:rFonts w:asciiTheme="minorHAnsi" w:hAnsiTheme="minorHAnsi" w:cstheme="minorHAnsi"/>
                <w:b/>
                <w:i/>
                <w:sz w:val="22"/>
                <w:szCs w:val="22"/>
              </w:rPr>
              <w:t>Information Management</w:t>
            </w:r>
          </w:p>
          <w:p w14:paraId="268ABE09" w14:textId="77777777" w:rsidR="008B1803" w:rsidRPr="00237CE6" w:rsidRDefault="008B1803" w:rsidP="008B1803">
            <w:pPr>
              <w:numPr>
                <w:ilvl w:val="0"/>
                <w:numId w:val="7"/>
              </w:numPr>
              <w:rPr>
                <w:rFonts w:asciiTheme="minorHAnsi" w:hAnsiTheme="minorHAnsi" w:cstheme="minorHAnsi"/>
                <w:sz w:val="22"/>
                <w:szCs w:val="22"/>
              </w:rPr>
            </w:pPr>
            <w:r w:rsidRPr="00237CE6">
              <w:rPr>
                <w:rFonts w:asciiTheme="minorHAnsi" w:hAnsiTheme="minorHAnsi" w:cstheme="minorHAnsi"/>
                <w:sz w:val="22"/>
                <w:szCs w:val="22"/>
              </w:rPr>
              <w:t>In line with WHO’s Ethical and Safety Recommendations for Researching, Documenting and Monitoring Sexual Violence in Emergencies:</w:t>
            </w:r>
          </w:p>
          <w:p w14:paraId="33A92C72" w14:textId="6CE6B2D4" w:rsidR="008B1803" w:rsidRPr="00237CE6" w:rsidRDefault="008B1803" w:rsidP="008B1803">
            <w:pPr>
              <w:numPr>
                <w:ilvl w:val="1"/>
                <w:numId w:val="7"/>
              </w:numPr>
              <w:rPr>
                <w:rFonts w:asciiTheme="minorHAnsi" w:hAnsiTheme="minorHAnsi" w:cstheme="minorHAnsi"/>
                <w:sz w:val="22"/>
                <w:szCs w:val="22"/>
              </w:rPr>
            </w:pPr>
            <w:r w:rsidRPr="00237CE6">
              <w:rPr>
                <w:rFonts w:asciiTheme="minorHAnsi" w:hAnsiTheme="minorHAnsi" w:cstheme="minorHAnsi"/>
                <w:sz w:val="22"/>
                <w:szCs w:val="22"/>
              </w:rPr>
              <w:t xml:space="preserve">Engage in robust analyses of available secondary data to ensure </w:t>
            </w:r>
            <w:r w:rsidR="00CC5281" w:rsidRPr="00237CE6">
              <w:rPr>
                <w:rFonts w:asciiTheme="minorHAnsi" w:hAnsiTheme="minorHAnsi" w:cstheme="minorHAnsi"/>
                <w:sz w:val="22"/>
                <w:szCs w:val="22"/>
              </w:rPr>
              <w:t>readily available</w:t>
            </w:r>
            <w:r w:rsidRPr="00237CE6">
              <w:rPr>
                <w:rFonts w:asciiTheme="minorHAnsi" w:hAnsiTheme="minorHAnsi" w:cstheme="minorHAnsi"/>
                <w:sz w:val="22"/>
                <w:szCs w:val="22"/>
              </w:rPr>
              <w:t xml:space="preserve"> information on known trends and patterns on GBV for inclusion at relevant points along the Humanitarian Programme Cycle</w:t>
            </w:r>
          </w:p>
          <w:p w14:paraId="7C1AEEB2" w14:textId="77777777" w:rsidR="008B1803" w:rsidRPr="00237CE6" w:rsidRDefault="008B1803" w:rsidP="008B1803">
            <w:pPr>
              <w:numPr>
                <w:ilvl w:val="1"/>
                <w:numId w:val="7"/>
              </w:numPr>
              <w:rPr>
                <w:rFonts w:asciiTheme="minorHAnsi" w:hAnsiTheme="minorHAnsi" w:cstheme="minorHAnsi"/>
                <w:sz w:val="22"/>
                <w:szCs w:val="22"/>
              </w:rPr>
            </w:pPr>
            <w:r w:rsidRPr="00237CE6">
              <w:rPr>
                <w:rFonts w:asciiTheme="minorHAnsi" w:hAnsiTheme="minorHAnsi" w:cstheme="minorHAnsi"/>
                <w:sz w:val="22"/>
                <w:szCs w:val="22"/>
              </w:rPr>
              <w:t xml:space="preserve">Consolidate existing assessments on the GBV situation and/or work with relevant agencies, the displaced and host populations to conduct relevant participatory analyses of GBV.  </w:t>
            </w:r>
          </w:p>
          <w:p w14:paraId="30442856" w14:textId="77777777" w:rsidR="008B1803" w:rsidRPr="00237CE6" w:rsidRDefault="008B1803" w:rsidP="008B1803">
            <w:pPr>
              <w:numPr>
                <w:ilvl w:val="1"/>
                <w:numId w:val="7"/>
              </w:numPr>
              <w:rPr>
                <w:rFonts w:asciiTheme="minorHAnsi" w:hAnsiTheme="minorHAnsi" w:cstheme="minorHAnsi"/>
                <w:sz w:val="22"/>
                <w:szCs w:val="22"/>
              </w:rPr>
            </w:pPr>
            <w:r w:rsidRPr="00237CE6">
              <w:rPr>
                <w:rFonts w:asciiTheme="minorHAnsi" w:hAnsiTheme="minorHAnsi" w:cstheme="minorHAnsi"/>
                <w:sz w:val="22"/>
                <w:szCs w:val="22"/>
              </w:rPr>
              <w:t>Supervise the work of the GBVIMS Coordinator and provide technical support to the GBV IMS Steering Committee</w:t>
            </w:r>
          </w:p>
          <w:p w14:paraId="41CC46E1" w14:textId="77777777" w:rsidR="008B1803" w:rsidRPr="00237CE6" w:rsidRDefault="008B1803" w:rsidP="008B1803">
            <w:pPr>
              <w:numPr>
                <w:ilvl w:val="1"/>
                <w:numId w:val="7"/>
              </w:numPr>
              <w:rPr>
                <w:rFonts w:asciiTheme="minorHAnsi" w:hAnsiTheme="minorHAnsi" w:cstheme="minorHAnsi"/>
                <w:sz w:val="22"/>
                <w:szCs w:val="22"/>
              </w:rPr>
            </w:pPr>
            <w:r w:rsidRPr="00237CE6">
              <w:rPr>
                <w:rFonts w:asciiTheme="minorHAnsi" w:hAnsiTheme="minorHAnsi" w:cstheme="minorHAnsi"/>
                <w:sz w:val="22"/>
                <w:szCs w:val="22"/>
              </w:rPr>
              <w:t xml:space="preserve">Document best practices and approaches for responding to issues of GBV </w:t>
            </w:r>
            <w:proofErr w:type="gramStart"/>
            <w:r w:rsidRPr="00237CE6">
              <w:rPr>
                <w:rFonts w:asciiTheme="minorHAnsi" w:hAnsiTheme="minorHAnsi" w:cstheme="minorHAnsi"/>
                <w:sz w:val="22"/>
                <w:szCs w:val="22"/>
              </w:rPr>
              <w:t>in order to</w:t>
            </w:r>
            <w:proofErr w:type="gramEnd"/>
            <w:r w:rsidRPr="00237CE6">
              <w:rPr>
                <w:rFonts w:asciiTheme="minorHAnsi" w:hAnsiTheme="minorHAnsi" w:cstheme="minorHAnsi"/>
                <w:sz w:val="22"/>
                <w:szCs w:val="22"/>
              </w:rPr>
              <w:t xml:space="preserve"> deepen the knowledge base among relevant partners.</w:t>
            </w:r>
          </w:p>
          <w:p w14:paraId="54C80532" w14:textId="77777777" w:rsidR="008B1803" w:rsidRPr="00237CE6" w:rsidRDefault="008B1803" w:rsidP="008B1803">
            <w:pPr>
              <w:numPr>
                <w:ilvl w:val="1"/>
                <w:numId w:val="7"/>
              </w:numPr>
              <w:rPr>
                <w:rFonts w:asciiTheme="minorHAnsi" w:hAnsiTheme="minorHAnsi" w:cstheme="minorHAnsi"/>
                <w:sz w:val="22"/>
                <w:szCs w:val="22"/>
              </w:rPr>
            </w:pPr>
            <w:r w:rsidRPr="00237CE6">
              <w:rPr>
                <w:rFonts w:asciiTheme="minorHAnsi" w:hAnsiTheme="minorHAnsi" w:cstheme="minorHAnsi"/>
                <w:color w:val="333333"/>
                <w:sz w:val="22"/>
                <w:szCs w:val="22"/>
              </w:rPr>
              <w:t>Prepare regular analytical reports on emerging issues.</w:t>
            </w:r>
          </w:p>
          <w:p w14:paraId="187C38BE" w14:textId="77777777" w:rsidR="008B1803" w:rsidRPr="00237CE6" w:rsidRDefault="008B1803" w:rsidP="008B1803">
            <w:pPr>
              <w:rPr>
                <w:rFonts w:asciiTheme="minorHAnsi" w:hAnsiTheme="minorHAnsi" w:cstheme="minorHAnsi"/>
                <w:color w:val="333333"/>
                <w:sz w:val="22"/>
                <w:szCs w:val="22"/>
              </w:rPr>
            </w:pPr>
          </w:p>
          <w:p w14:paraId="709981E0" w14:textId="77777777" w:rsidR="008B1803" w:rsidRPr="00237CE6" w:rsidRDefault="008B1803" w:rsidP="008B1803">
            <w:pPr>
              <w:rPr>
                <w:rFonts w:asciiTheme="minorHAnsi" w:hAnsiTheme="minorHAnsi" w:cstheme="minorHAnsi"/>
                <w:b/>
                <w:bCs/>
                <w:color w:val="333333"/>
                <w:sz w:val="22"/>
                <w:szCs w:val="22"/>
              </w:rPr>
            </w:pPr>
            <w:r w:rsidRPr="00237CE6">
              <w:rPr>
                <w:rFonts w:asciiTheme="minorHAnsi" w:hAnsiTheme="minorHAnsi" w:cstheme="minorHAnsi"/>
                <w:b/>
                <w:bCs/>
                <w:color w:val="333333"/>
                <w:sz w:val="22"/>
                <w:szCs w:val="22"/>
              </w:rPr>
              <w:lastRenderedPageBreak/>
              <w:t>Support to Office UNFPA Humanitarian Coordination</w:t>
            </w:r>
          </w:p>
          <w:p w14:paraId="4C1858B3" w14:textId="77777777" w:rsidR="008B1803" w:rsidRPr="00237CE6" w:rsidRDefault="008B1803" w:rsidP="008B1803">
            <w:pPr>
              <w:rPr>
                <w:rFonts w:asciiTheme="minorHAnsi" w:hAnsiTheme="minorHAnsi" w:cstheme="minorHAnsi"/>
                <w:b/>
                <w:bCs/>
                <w:color w:val="333333"/>
                <w:sz w:val="22"/>
                <w:szCs w:val="22"/>
              </w:rPr>
            </w:pPr>
          </w:p>
          <w:p w14:paraId="5D0F9B46" w14:textId="77777777" w:rsidR="008B1803" w:rsidRPr="00237CE6" w:rsidRDefault="008B1803" w:rsidP="008B1803">
            <w:pPr>
              <w:numPr>
                <w:ilvl w:val="0"/>
                <w:numId w:val="9"/>
              </w:numPr>
              <w:rPr>
                <w:rFonts w:asciiTheme="minorHAnsi" w:hAnsiTheme="minorHAnsi" w:cstheme="minorHAnsi"/>
                <w:sz w:val="22"/>
                <w:szCs w:val="22"/>
              </w:rPr>
            </w:pPr>
            <w:r w:rsidRPr="00237CE6">
              <w:rPr>
                <w:rFonts w:asciiTheme="minorHAnsi" w:hAnsiTheme="minorHAnsi" w:cstheme="minorHAnsi"/>
                <w:sz w:val="22"/>
                <w:szCs w:val="22"/>
              </w:rPr>
              <w:t xml:space="preserve">Ensure identification and engagement of strategic partners for possible </w:t>
            </w:r>
            <w:proofErr w:type="gramStart"/>
            <w:r w:rsidRPr="00237CE6">
              <w:rPr>
                <w:rFonts w:asciiTheme="minorHAnsi" w:hAnsiTheme="minorHAnsi" w:cstheme="minorHAnsi"/>
                <w:sz w:val="22"/>
                <w:szCs w:val="22"/>
              </w:rPr>
              <w:t>joint collaboration</w:t>
            </w:r>
            <w:proofErr w:type="gramEnd"/>
            <w:r w:rsidRPr="00237CE6">
              <w:rPr>
                <w:rFonts w:asciiTheme="minorHAnsi" w:hAnsiTheme="minorHAnsi" w:cstheme="minorHAnsi"/>
                <w:sz w:val="22"/>
                <w:szCs w:val="22"/>
              </w:rPr>
              <w:t xml:space="preserve"> and partnership with UNFPA</w:t>
            </w:r>
          </w:p>
          <w:p w14:paraId="3AC4BAE0"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Ensure inclusion of RH, GBV, and gender concerns in joint assessment in close collaboration with RH and GBV specialists.</w:t>
            </w:r>
          </w:p>
          <w:p w14:paraId="2841F32D"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Assist in the preparation for and participate in humanitarian related coordination meetings relating to emergency </w:t>
            </w:r>
            <w:proofErr w:type="gramStart"/>
            <w:r w:rsidRPr="00237CE6">
              <w:rPr>
                <w:rFonts w:asciiTheme="minorHAnsi" w:hAnsiTheme="minorHAnsi" w:cstheme="minorHAnsi"/>
                <w:color w:val="000000"/>
                <w:sz w:val="22"/>
                <w:szCs w:val="22"/>
              </w:rPr>
              <w:t>response, and</w:t>
            </w:r>
            <w:proofErr w:type="gramEnd"/>
            <w:r w:rsidRPr="00237CE6">
              <w:rPr>
                <w:rFonts w:asciiTheme="minorHAnsi" w:hAnsiTheme="minorHAnsi" w:cstheme="minorHAnsi"/>
                <w:color w:val="000000"/>
                <w:sz w:val="22"/>
                <w:szCs w:val="22"/>
              </w:rPr>
              <w:t xml:space="preserve"> ensure follow up.</w:t>
            </w:r>
          </w:p>
          <w:p w14:paraId="051AC9FC"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Support the development of CERF, Flash Appeal proposals and ensure quality review.</w:t>
            </w:r>
          </w:p>
          <w:p w14:paraId="6FC38AB5"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Coordinate the implementation of the UNFPA Standards Operating Procedures for humanitarian settings. </w:t>
            </w:r>
          </w:p>
          <w:p w14:paraId="3BAD2A81"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Liaise with UNFPA ROs, SROs and HQ units to share information, provide necessary updates and seek guidance as necessary.</w:t>
            </w:r>
          </w:p>
          <w:p w14:paraId="7D446E4D"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Provide input for the humanitarian needs overview as well as regular updates on humanitarian situation</w:t>
            </w:r>
          </w:p>
          <w:p w14:paraId="45487F33"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Support the update of the country office preparedness plan </w:t>
            </w:r>
          </w:p>
          <w:p w14:paraId="0944B1DB"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Liaise with community organizations, faith-based organizations, and community leaders to increase their participation in the process of planning, </w:t>
            </w:r>
            <w:proofErr w:type="gramStart"/>
            <w:r w:rsidRPr="00237CE6">
              <w:rPr>
                <w:rFonts w:asciiTheme="minorHAnsi" w:hAnsiTheme="minorHAnsi" w:cstheme="minorHAnsi"/>
                <w:color w:val="000000"/>
                <w:sz w:val="22"/>
                <w:szCs w:val="22"/>
              </w:rPr>
              <w:t>monitoring</w:t>
            </w:r>
            <w:proofErr w:type="gramEnd"/>
            <w:r w:rsidRPr="00237CE6">
              <w:rPr>
                <w:rFonts w:asciiTheme="minorHAnsi" w:hAnsiTheme="minorHAnsi" w:cstheme="minorHAnsi"/>
                <w:color w:val="000000"/>
                <w:sz w:val="22"/>
                <w:szCs w:val="22"/>
              </w:rPr>
              <w:t xml:space="preserve"> and evaluating activities.</w:t>
            </w:r>
          </w:p>
          <w:p w14:paraId="2B67C85F" w14:textId="77777777" w:rsidR="008B1803" w:rsidRPr="00237CE6" w:rsidRDefault="008B1803" w:rsidP="008B1803">
            <w:pPr>
              <w:pStyle w:val="NormalWeb"/>
              <w:numPr>
                <w:ilvl w:val="0"/>
                <w:numId w:val="9"/>
              </w:numPr>
              <w:spacing w:before="0" w:beforeAutospacing="0" w:after="0" w:afterAutospacing="0"/>
              <w:ind w:right="-576"/>
              <w:textAlignment w:val="baseline"/>
              <w:rPr>
                <w:rFonts w:asciiTheme="minorHAnsi" w:hAnsiTheme="minorHAnsi" w:cstheme="minorHAnsi"/>
                <w:color w:val="000000"/>
                <w:sz w:val="22"/>
                <w:szCs w:val="22"/>
              </w:rPr>
            </w:pPr>
            <w:r w:rsidRPr="00237CE6">
              <w:rPr>
                <w:rFonts w:asciiTheme="minorHAnsi" w:hAnsiTheme="minorHAnsi" w:cstheme="minorHAnsi"/>
                <w:color w:val="000000"/>
                <w:sz w:val="22"/>
                <w:szCs w:val="22"/>
              </w:rPr>
              <w:t>Participate in CO and other cluster/ inter-agency meetings as needed</w:t>
            </w:r>
          </w:p>
          <w:p w14:paraId="477EA5A0" w14:textId="77777777" w:rsidR="008B1803" w:rsidRPr="00237CE6" w:rsidRDefault="008B1803" w:rsidP="008B1803">
            <w:pPr>
              <w:rPr>
                <w:rFonts w:asciiTheme="minorHAnsi" w:hAnsiTheme="minorHAnsi" w:cstheme="minorHAnsi"/>
                <w:sz w:val="22"/>
                <w:szCs w:val="22"/>
              </w:rPr>
            </w:pPr>
          </w:p>
          <w:p w14:paraId="0000001B" w14:textId="77777777" w:rsidR="008B1803" w:rsidRPr="00237CE6" w:rsidRDefault="008B1803" w:rsidP="008B1803">
            <w:pPr>
              <w:tabs>
                <w:tab w:val="left" w:pos="-720"/>
              </w:tabs>
              <w:spacing w:before="40" w:after="54"/>
              <w:rPr>
                <w:rFonts w:asciiTheme="minorHAnsi" w:eastAsia="Calibri" w:hAnsiTheme="minorHAnsi" w:cstheme="minorHAnsi"/>
                <w:sz w:val="22"/>
                <w:szCs w:val="22"/>
                <w:highlight w:val="yellow"/>
              </w:rPr>
            </w:pPr>
          </w:p>
        </w:tc>
      </w:tr>
      <w:tr w:rsidR="008B1803" w:rsidRPr="00237CE6" w14:paraId="2B7D63F6"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C"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lastRenderedPageBreak/>
              <w:t>Duration working schedule: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1D" w14:textId="0B8A890D" w:rsidR="008B1803" w:rsidRPr="00237CE6" w:rsidRDefault="008B1803" w:rsidP="008B1803">
            <w:pPr>
              <w:pBdr>
                <w:top w:val="nil"/>
                <w:left w:val="nil"/>
                <w:bottom w:val="nil"/>
                <w:right w:val="nil"/>
                <w:between w:val="nil"/>
              </w:pBdr>
              <w:rPr>
                <w:rFonts w:asciiTheme="minorHAnsi" w:eastAsia="Cambria" w:hAnsiTheme="minorHAnsi" w:cstheme="minorHAnsi"/>
                <w:color w:val="000000"/>
                <w:sz w:val="22"/>
                <w:szCs w:val="22"/>
              </w:rPr>
            </w:pPr>
            <w:r w:rsidRPr="00237CE6">
              <w:rPr>
                <w:rFonts w:asciiTheme="minorHAnsi" w:eastAsia="Cambria" w:hAnsiTheme="minorHAnsi" w:cstheme="minorHAnsi"/>
                <w:b/>
                <w:sz w:val="22"/>
                <w:szCs w:val="22"/>
              </w:rPr>
              <w:t>6</w:t>
            </w:r>
            <w:r w:rsidRPr="00237CE6">
              <w:rPr>
                <w:rFonts w:asciiTheme="minorHAnsi" w:eastAsia="Cambria" w:hAnsiTheme="minorHAnsi" w:cstheme="minorHAnsi"/>
                <w:b/>
                <w:color w:val="000000"/>
                <w:sz w:val="22"/>
                <w:szCs w:val="22"/>
              </w:rPr>
              <w:t xml:space="preserve"> months (</w:t>
            </w:r>
            <w:r w:rsidRPr="00237CE6">
              <w:rPr>
                <w:rFonts w:asciiTheme="minorHAnsi" w:eastAsia="Cambria" w:hAnsiTheme="minorHAnsi" w:cstheme="minorHAnsi"/>
                <w:b/>
                <w:sz w:val="22"/>
                <w:szCs w:val="22"/>
              </w:rPr>
              <w:t>March XXX to August</w:t>
            </w:r>
            <w:r w:rsidRPr="00237CE6">
              <w:rPr>
                <w:rFonts w:asciiTheme="minorHAnsi" w:eastAsia="Cambria" w:hAnsiTheme="minorHAnsi" w:cstheme="minorHAnsi"/>
                <w:b/>
                <w:color w:val="000000"/>
                <w:sz w:val="22"/>
                <w:szCs w:val="22"/>
              </w:rPr>
              <w:t xml:space="preserve"> on full/</w:t>
            </w:r>
            <w:r w:rsidRPr="00237CE6">
              <w:rPr>
                <w:rFonts w:asciiTheme="minorHAnsi" w:eastAsia="Cambria" w:hAnsiTheme="minorHAnsi" w:cstheme="minorHAnsi"/>
                <w:b/>
                <w:sz w:val="22"/>
                <w:szCs w:val="22"/>
              </w:rPr>
              <w:t>part</w:t>
            </w:r>
            <w:r w:rsidRPr="00237CE6">
              <w:rPr>
                <w:rFonts w:asciiTheme="minorHAnsi" w:eastAsia="Cambria" w:hAnsiTheme="minorHAnsi" w:cstheme="minorHAnsi"/>
                <w:b/>
                <w:color w:val="000000"/>
                <w:sz w:val="22"/>
                <w:szCs w:val="22"/>
              </w:rPr>
              <w:t xml:space="preserve"> time basis)</w:t>
            </w:r>
          </w:p>
          <w:p w14:paraId="0000001E" w14:textId="77777777" w:rsidR="008B1803" w:rsidRPr="00237CE6" w:rsidRDefault="008B1803" w:rsidP="008B1803">
            <w:pPr>
              <w:pBdr>
                <w:top w:val="nil"/>
                <w:left w:val="nil"/>
                <w:bottom w:val="nil"/>
                <w:right w:val="nil"/>
                <w:between w:val="nil"/>
              </w:pBdr>
              <w:rPr>
                <w:rFonts w:asciiTheme="minorHAnsi" w:eastAsia="Cambria" w:hAnsiTheme="minorHAnsi" w:cstheme="minorHAnsi"/>
                <w:color w:val="000000"/>
                <w:sz w:val="22"/>
                <w:szCs w:val="22"/>
                <w:highlight w:val="yellow"/>
              </w:rPr>
            </w:pPr>
          </w:p>
        </w:tc>
      </w:tr>
      <w:tr w:rsidR="008B1803" w:rsidRPr="00237CE6" w14:paraId="0470A5BE"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F"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t>Place where services are to be delivered:</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50995DC" w14:textId="77777777" w:rsidR="008B1803" w:rsidRPr="00237CE6" w:rsidRDefault="008B1803" w:rsidP="008B1803">
            <w:pPr>
              <w:tabs>
                <w:tab w:val="left" w:pos="-720"/>
              </w:tabs>
              <w:spacing w:before="40" w:after="54"/>
              <w:rPr>
                <w:rFonts w:asciiTheme="minorHAnsi" w:eastAsia="Cambria" w:hAnsiTheme="minorHAnsi" w:cstheme="minorHAnsi"/>
                <w:sz w:val="22"/>
                <w:szCs w:val="22"/>
              </w:rPr>
            </w:pPr>
            <w:r w:rsidRPr="00237CE6">
              <w:rPr>
                <w:rFonts w:asciiTheme="minorHAnsi" w:eastAsia="Cambria" w:hAnsiTheme="minorHAnsi" w:cstheme="minorHAnsi"/>
                <w:sz w:val="22"/>
                <w:szCs w:val="22"/>
              </w:rPr>
              <w:t xml:space="preserve">Beirut </w:t>
            </w:r>
          </w:p>
          <w:p w14:paraId="00000020" w14:textId="1BC58EF2" w:rsidR="008B1803" w:rsidRPr="00237CE6" w:rsidRDefault="008B1803" w:rsidP="008B1803">
            <w:pPr>
              <w:tabs>
                <w:tab w:val="left" w:pos="-720"/>
              </w:tabs>
              <w:spacing w:before="40" w:after="54"/>
              <w:rPr>
                <w:rFonts w:asciiTheme="minorHAnsi" w:eastAsia="Cambria" w:hAnsiTheme="minorHAnsi" w:cstheme="minorHAnsi"/>
                <w:sz w:val="22"/>
                <w:szCs w:val="22"/>
                <w:highlight w:val="yellow"/>
              </w:rPr>
            </w:pPr>
            <w:r w:rsidRPr="00237CE6">
              <w:rPr>
                <w:rFonts w:asciiTheme="minorHAnsi" w:eastAsia="Cambria" w:hAnsiTheme="minorHAnsi" w:cstheme="minorHAnsi"/>
                <w:sz w:val="22"/>
                <w:szCs w:val="22"/>
              </w:rPr>
              <w:t xml:space="preserve">A hybrid approach </w:t>
            </w:r>
            <w:proofErr w:type="gramStart"/>
            <w:r w:rsidRPr="00237CE6">
              <w:rPr>
                <w:rFonts w:asciiTheme="minorHAnsi" w:eastAsia="Cambria" w:hAnsiTheme="minorHAnsi" w:cstheme="minorHAnsi"/>
                <w:sz w:val="22"/>
                <w:szCs w:val="22"/>
              </w:rPr>
              <w:t>i.e.</w:t>
            </w:r>
            <w:proofErr w:type="gramEnd"/>
            <w:r w:rsidRPr="00237CE6">
              <w:rPr>
                <w:rFonts w:asciiTheme="minorHAnsi" w:eastAsia="Cambria" w:hAnsiTheme="minorHAnsi" w:cstheme="minorHAnsi"/>
                <w:sz w:val="22"/>
                <w:szCs w:val="22"/>
              </w:rPr>
              <w:t xml:space="preserve"> UNFPA office (Beirut), remote home based and field visits </w:t>
            </w:r>
          </w:p>
        </w:tc>
      </w:tr>
      <w:tr w:rsidR="008B1803" w:rsidRPr="00237CE6" w14:paraId="70932789"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1"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t>Delivery dates and how work will be delivered (</w:t>
            </w:r>
            <w:proofErr w:type="gramStart"/>
            <w:r w:rsidRPr="00237CE6">
              <w:rPr>
                <w:rFonts w:asciiTheme="minorHAnsi" w:eastAsia="Calibri" w:hAnsiTheme="minorHAnsi" w:cstheme="minorHAnsi"/>
                <w:i/>
                <w:sz w:val="22"/>
                <w:szCs w:val="22"/>
              </w:rPr>
              <w:t>e.g.</w:t>
            </w:r>
            <w:proofErr w:type="gramEnd"/>
            <w:r w:rsidRPr="00237CE6">
              <w:rPr>
                <w:rFonts w:asciiTheme="minorHAnsi" w:eastAsia="Calibri" w:hAnsiTheme="minorHAnsi" w:cstheme="minorHAnsi"/>
                <w:sz w:val="22"/>
                <w:szCs w:val="22"/>
              </w:rPr>
              <w:t xml:space="preserve"> electronic, hard copy etc.):</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900"/>
              <w:gridCol w:w="1080"/>
              <w:gridCol w:w="1260"/>
              <w:gridCol w:w="1610"/>
            </w:tblGrid>
            <w:tr w:rsidR="008B1803" w:rsidRPr="00237CE6" w14:paraId="365F56E2" w14:textId="77777777" w:rsidTr="00962A82">
              <w:trPr>
                <w:trHeight w:val="392"/>
              </w:trPr>
              <w:tc>
                <w:tcPr>
                  <w:tcW w:w="1825" w:type="dxa"/>
                  <w:shd w:val="clear" w:color="auto" w:fill="auto"/>
                </w:tcPr>
                <w:p w14:paraId="662A430E" w14:textId="77777777" w:rsidR="008B1803" w:rsidRPr="00237CE6" w:rsidRDefault="008B1803" w:rsidP="008B1803">
                  <w:pPr>
                    <w:jc w:val="both"/>
                    <w:rPr>
                      <w:rFonts w:asciiTheme="minorHAnsi" w:hAnsiTheme="minorHAnsi" w:cstheme="minorHAnsi"/>
                      <w:b/>
                      <w:bCs/>
                      <w:color w:val="000000"/>
                      <w:sz w:val="22"/>
                      <w:szCs w:val="22"/>
                    </w:rPr>
                  </w:pPr>
                  <w:r w:rsidRPr="00237CE6">
                    <w:rPr>
                      <w:rFonts w:asciiTheme="minorHAnsi" w:hAnsiTheme="minorHAnsi" w:cstheme="minorHAnsi"/>
                      <w:b/>
                      <w:bCs/>
                      <w:color w:val="000000"/>
                      <w:sz w:val="22"/>
                      <w:szCs w:val="22"/>
                    </w:rPr>
                    <w:t>Milestones</w:t>
                  </w:r>
                </w:p>
              </w:tc>
              <w:tc>
                <w:tcPr>
                  <w:tcW w:w="1900" w:type="dxa"/>
                  <w:shd w:val="clear" w:color="auto" w:fill="auto"/>
                </w:tcPr>
                <w:p w14:paraId="7E5B60A0" w14:textId="77777777" w:rsidR="008B1803" w:rsidRPr="00237CE6" w:rsidRDefault="008B1803" w:rsidP="008B1803">
                  <w:pPr>
                    <w:jc w:val="both"/>
                    <w:rPr>
                      <w:rFonts w:asciiTheme="minorHAnsi" w:hAnsiTheme="minorHAnsi" w:cstheme="minorHAnsi"/>
                      <w:b/>
                      <w:bCs/>
                      <w:color w:val="000000"/>
                      <w:sz w:val="22"/>
                      <w:szCs w:val="22"/>
                    </w:rPr>
                  </w:pPr>
                  <w:r w:rsidRPr="00237CE6">
                    <w:rPr>
                      <w:rFonts w:asciiTheme="minorHAnsi" w:hAnsiTheme="minorHAnsi" w:cstheme="minorHAnsi"/>
                      <w:b/>
                      <w:bCs/>
                      <w:color w:val="000000"/>
                      <w:sz w:val="22"/>
                      <w:szCs w:val="22"/>
                    </w:rPr>
                    <w:t>Deliverables</w:t>
                  </w:r>
                </w:p>
              </w:tc>
              <w:tc>
                <w:tcPr>
                  <w:tcW w:w="1080" w:type="dxa"/>
                  <w:shd w:val="clear" w:color="auto" w:fill="auto"/>
                </w:tcPr>
                <w:p w14:paraId="1296D396" w14:textId="77777777" w:rsidR="008B1803" w:rsidRPr="00237CE6" w:rsidRDefault="008B1803" w:rsidP="008B1803">
                  <w:pPr>
                    <w:jc w:val="both"/>
                    <w:rPr>
                      <w:rFonts w:asciiTheme="minorHAnsi" w:hAnsiTheme="minorHAnsi" w:cstheme="minorHAnsi"/>
                      <w:b/>
                      <w:bCs/>
                      <w:color w:val="000000"/>
                      <w:sz w:val="22"/>
                      <w:szCs w:val="22"/>
                    </w:rPr>
                  </w:pPr>
                  <w:r w:rsidRPr="00237CE6">
                    <w:rPr>
                      <w:rFonts w:asciiTheme="minorHAnsi" w:hAnsiTheme="minorHAnsi" w:cstheme="minorHAnsi"/>
                      <w:b/>
                      <w:bCs/>
                      <w:color w:val="000000"/>
                      <w:sz w:val="22"/>
                      <w:szCs w:val="22"/>
                    </w:rPr>
                    <w:t>Language/ Format</w:t>
                  </w:r>
                </w:p>
              </w:tc>
              <w:tc>
                <w:tcPr>
                  <w:tcW w:w="1260" w:type="dxa"/>
                  <w:shd w:val="clear" w:color="auto" w:fill="auto"/>
                </w:tcPr>
                <w:p w14:paraId="3F3FE5E7" w14:textId="77777777" w:rsidR="008B1803" w:rsidRPr="00237CE6" w:rsidRDefault="008B1803" w:rsidP="008B1803">
                  <w:pPr>
                    <w:jc w:val="both"/>
                    <w:rPr>
                      <w:rFonts w:asciiTheme="minorHAnsi" w:hAnsiTheme="minorHAnsi" w:cstheme="minorHAnsi"/>
                      <w:b/>
                      <w:bCs/>
                      <w:color w:val="000000"/>
                      <w:sz w:val="22"/>
                      <w:szCs w:val="22"/>
                    </w:rPr>
                  </w:pPr>
                  <w:r w:rsidRPr="00237CE6">
                    <w:rPr>
                      <w:rFonts w:asciiTheme="minorHAnsi" w:hAnsiTheme="minorHAnsi" w:cstheme="minorHAnsi"/>
                      <w:b/>
                      <w:bCs/>
                      <w:color w:val="000000"/>
                      <w:sz w:val="22"/>
                      <w:szCs w:val="22"/>
                    </w:rPr>
                    <w:t>Timeline</w:t>
                  </w:r>
                </w:p>
              </w:tc>
              <w:tc>
                <w:tcPr>
                  <w:tcW w:w="1610" w:type="dxa"/>
                  <w:shd w:val="clear" w:color="auto" w:fill="auto"/>
                </w:tcPr>
                <w:p w14:paraId="1163A28B" w14:textId="77777777" w:rsidR="008B1803" w:rsidRPr="00237CE6" w:rsidRDefault="008B1803" w:rsidP="008B1803">
                  <w:pPr>
                    <w:jc w:val="both"/>
                    <w:rPr>
                      <w:rFonts w:asciiTheme="minorHAnsi" w:hAnsiTheme="minorHAnsi" w:cstheme="minorHAnsi"/>
                      <w:b/>
                      <w:bCs/>
                      <w:color w:val="000000"/>
                      <w:sz w:val="22"/>
                      <w:szCs w:val="22"/>
                    </w:rPr>
                  </w:pPr>
                  <w:r w:rsidRPr="00237CE6">
                    <w:rPr>
                      <w:rFonts w:asciiTheme="minorHAnsi" w:hAnsiTheme="minorHAnsi" w:cstheme="minorHAnsi"/>
                      <w:b/>
                      <w:bCs/>
                      <w:color w:val="000000"/>
                      <w:sz w:val="22"/>
                      <w:szCs w:val="22"/>
                    </w:rPr>
                    <w:t xml:space="preserve">% </w:t>
                  </w:r>
                  <w:proofErr w:type="gramStart"/>
                  <w:r w:rsidRPr="00237CE6">
                    <w:rPr>
                      <w:rFonts w:asciiTheme="minorHAnsi" w:hAnsiTheme="minorHAnsi" w:cstheme="minorHAnsi"/>
                      <w:b/>
                      <w:bCs/>
                      <w:color w:val="000000"/>
                      <w:sz w:val="22"/>
                      <w:szCs w:val="22"/>
                    </w:rPr>
                    <w:t>remuneration</w:t>
                  </w:r>
                  <w:proofErr w:type="gramEnd"/>
                </w:p>
              </w:tc>
            </w:tr>
            <w:tr w:rsidR="008B1803" w:rsidRPr="00237CE6" w14:paraId="5F995549" w14:textId="77777777" w:rsidTr="00962A82">
              <w:trPr>
                <w:trHeight w:val="192"/>
              </w:trPr>
              <w:tc>
                <w:tcPr>
                  <w:tcW w:w="1825" w:type="dxa"/>
                  <w:shd w:val="clear" w:color="auto" w:fill="auto"/>
                </w:tcPr>
                <w:p w14:paraId="0294F246"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SGBV TF Coordination</w:t>
                  </w:r>
                </w:p>
              </w:tc>
              <w:tc>
                <w:tcPr>
                  <w:tcW w:w="1900" w:type="dxa"/>
                  <w:shd w:val="clear" w:color="auto" w:fill="auto"/>
                </w:tcPr>
                <w:p w14:paraId="271F1690"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Monthly national meetings and minutes </w:t>
                  </w:r>
                </w:p>
                <w:p w14:paraId="6EB14F74"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lastRenderedPageBreak/>
                    <w:t>Bi-monthly newsletter finalized</w:t>
                  </w:r>
                </w:p>
                <w:p w14:paraId="23420E60"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Sector dashboards prepared </w:t>
                  </w:r>
                </w:p>
                <w:p w14:paraId="382E4ED2"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Regular updates of the sector work plan</w:t>
                  </w:r>
                </w:p>
              </w:tc>
              <w:tc>
                <w:tcPr>
                  <w:tcW w:w="1080" w:type="dxa"/>
                  <w:shd w:val="clear" w:color="auto" w:fill="auto"/>
                </w:tcPr>
                <w:p w14:paraId="63928EE0" w14:textId="77777777" w:rsidR="008B1803" w:rsidRPr="00237CE6" w:rsidRDefault="008B1803" w:rsidP="008B1803">
                  <w:pPr>
                    <w:jc w:val="both"/>
                    <w:rPr>
                      <w:rFonts w:asciiTheme="minorHAnsi" w:hAnsiTheme="minorHAnsi" w:cstheme="minorHAnsi"/>
                      <w:color w:val="000000"/>
                      <w:sz w:val="22"/>
                      <w:szCs w:val="22"/>
                    </w:rPr>
                  </w:pPr>
                  <w:r w:rsidRPr="00237CE6">
                    <w:rPr>
                      <w:rFonts w:asciiTheme="minorHAnsi" w:hAnsiTheme="minorHAnsi" w:cstheme="minorHAnsi"/>
                      <w:color w:val="000000"/>
                      <w:sz w:val="22"/>
                      <w:szCs w:val="22"/>
                    </w:rPr>
                    <w:lastRenderedPageBreak/>
                    <w:t xml:space="preserve"> English</w:t>
                  </w:r>
                </w:p>
              </w:tc>
              <w:tc>
                <w:tcPr>
                  <w:tcW w:w="1260" w:type="dxa"/>
                  <w:shd w:val="clear" w:color="auto" w:fill="auto"/>
                </w:tcPr>
                <w:p w14:paraId="0880173F" w14:textId="77777777" w:rsidR="008B1803" w:rsidRPr="00237CE6" w:rsidRDefault="008B1803" w:rsidP="008B1803">
                  <w:pPr>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 On a monthly basis </w:t>
                  </w:r>
                </w:p>
              </w:tc>
              <w:tc>
                <w:tcPr>
                  <w:tcW w:w="1610" w:type="dxa"/>
                  <w:vMerge w:val="restart"/>
                  <w:shd w:val="clear" w:color="auto" w:fill="auto"/>
                </w:tcPr>
                <w:p w14:paraId="350886A2" w14:textId="77777777" w:rsidR="008B1803" w:rsidRPr="00237CE6" w:rsidRDefault="008B1803" w:rsidP="008B1803">
                  <w:pPr>
                    <w:jc w:val="both"/>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Payment </w:t>
                  </w:r>
                  <w:proofErr w:type="gramStart"/>
                  <w:r w:rsidRPr="00237CE6">
                    <w:rPr>
                      <w:rFonts w:asciiTheme="minorHAnsi" w:hAnsiTheme="minorHAnsi" w:cstheme="minorHAnsi"/>
                      <w:color w:val="000000"/>
                      <w:sz w:val="22"/>
                      <w:szCs w:val="22"/>
                    </w:rPr>
                    <w:t>on a monthly basis</w:t>
                  </w:r>
                  <w:proofErr w:type="gramEnd"/>
                  <w:r w:rsidRPr="00237CE6">
                    <w:rPr>
                      <w:rFonts w:asciiTheme="minorHAnsi" w:hAnsiTheme="minorHAnsi" w:cstheme="minorHAnsi"/>
                      <w:color w:val="000000"/>
                      <w:sz w:val="22"/>
                      <w:szCs w:val="22"/>
                    </w:rPr>
                    <w:t xml:space="preserve"> (according to </w:t>
                  </w:r>
                  <w:r w:rsidRPr="00237CE6">
                    <w:rPr>
                      <w:rFonts w:asciiTheme="minorHAnsi" w:hAnsiTheme="minorHAnsi" w:cstheme="minorHAnsi"/>
                      <w:color w:val="000000"/>
                      <w:sz w:val="22"/>
                      <w:szCs w:val="22"/>
                    </w:rPr>
                    <w:lastRenderedPageBreak/>
                    <w:t>the number of days worked and deliverables completed</w:t>
                  </w:r>
                </w:p>
                <w:p w14:paraId="2321B7EA" w14:textId="77777777" w:rsidR="008B1803" w:rsidRPr="00237CE6" w:rsidRDefault="008B1803" w:rsidP="008B1803">
                  <w:pPr>
                    <w:jc w:val="both"/>
                    <w:rPr>
                      <w:rFonts w:asciiTheme="minorHAnsi" w:hAnsiTheme="minorHAnsi" w:cstheme="minorHAnsi"/>
                      <w:color w:val="000000"/>
                      <w:sz w:val="22"/>
                      <w:szCs w:val="22"/>
                    </w:rPr>
                  </w:pPr>
                </w:p>
              </w:tc>
            </w:tr>
            <w:tr w:rsidR="008B1803" w:rsidRPr="00237CE6" w14:paraId="22B18894" w14:textId="77777777" w:rsidTr="00962A82">
              <w:trPr>
                <w:trHeight w:val="192"/>
              </w:trPr>
              <w:tc>
                <w:tcPr>
                  <w:tcW w:w="1825" w:type="dxa"/>
                  <w:shd w:val="clear" w:color="auto" w:fill="auto"/>
                </w:tcPr>
                <w:p w14:paraId="1869C416" w14:textId="3F259479"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lastRenderedPageBreak/>
                    <w:t xml:space="preserve">HNO and </w:t>
                  </w:r>
                  <w:r w:rsidR="00CC5281" w:rsidRPr="00237CE6">
                    <w:rPr>
                      <w:rFonts w:asciiTheme="minorHAnsi" w:hAnsiTheme="minorHAnsi" w:cstheme="minorHAnsi"/>
                      <w:color w:val="000000"/>
                      <w:sz w:val="22"/>
                      <w:szCs w:val="22"/>
                    </w:rPr>
                    <w:t>HRP Finalization</w:t>
                  </w:r>
                </w:p>
              </w:tc>
              <w:tc>
                <w:tcPr>
                  <w:tcW w:w="1900" w:type="dxa"/>
                  <w:shd w:val="clear" w:color="auto" w:fill="auto"/>
                </w:tcPr>
                <w:p w14:paraId="2C944F6B"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HNO GBV chapter finalized </w:t>
                  </w:r>
                </w:p>
                <w:p w14:paraId="50B78407"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HRP GBV Chapter finalized </w:t>
                  </w:r>
                </w:p>
                <w:p w14:paraId="2B50D750"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  </w:t>
                  </w:r>
                </w:p>
              </w:tc>
              <w:tc>
                <w:tcPr>
                  <w:tcW w:w="1080" w:type="dxa"/>
                  <w:shd w:val="clear" w:color="auto" w:fill="auto"/>
                </w:tcPr>
                <w:p w14:paraId="5760D893" w14:textId="77777777" w:rsidR="008B1803" w:rsidRPr="00237CE6" w:rsidRDefault="008B1803" w:rsidP="008B1803">
                  <w:pPr>
                    <w:jc w:val="both"/>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English Arabic </w:t>
                  </w:r>
                </w:p>
              </w:tc>
              <w:tc>
                <w:tcPr>
                  <w:tcW w:w="1260" w:type="dxa"/>
                  <w:shd w:val="clear" w:color="auto" w:fill="auto"/>
                </w:tcPr>
                <w:p w14:paraId="3961684D" w14:textId="77777777" w:rsidR="008B1803" w:rsidRPr="00237CE6" w:rsidRDefault="008B1803" w:rsidP="008B1803">
                  <w:pPr>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30 June 2022 </w:t>
                  </w:r>
                </w:p>
              </w:tc>
              <w:tc>
                <w:tcPr>
                  <w:tcW w:w="1610" w:type="dxa"/>
                  <w:vMerge/>
                  <w:shd w:val="clear" w:color="auto" w:fill="auto"/>
                </w:tcPr>
                <w:p w14:paraId="68EB3733" w14:textId="77777777" w:rsidR="008B1803" w:rsidRPr="00237CE6" w:rsidRDefault="008B1803" w:rsidP="008B1803">
                  <w:pPr>
                    <w:jc w:val="both"/>
                    <w:rPr>
                      <w:rFonts w:asciiTheme="minorHAnsi" w:hAnsiTheme="minorHAnsi" w:cstheme="minorHAnsi"/>
                      <w:color w:val="000000"/>
                      <w:sz w:val="22"/>
                      <w:szCs w:val="22"/>
                    </w:rPr>
                  </w:pPr>
                </w:p>
              </w:tc>
            </w:tr>
            <w:tr w:rsidR="008B1803" w:rsidRPr="00237CE6" w14:paraId="3CAD93B6" w14:textId="77777777" w:rsidTr="00962A82">
              <w:trPr>
                <w:trHeight w:val="192"/>
              </w:trPr>
              <w:tc>
                <w:tcPr>
                  <w:tcW w:w="1825" w:type="dxa"/>
                  <w:shd w:val="clear" w:color="auto" w:fill="auto"/>
                </w:tcPr>
                <w:p w14:paraId="0FD16292"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Humanitarian Coordination</w:t>
                  </w:r>
                </w:p>
              </w:tc>
              <w:tc>
                <w:tcPr>
                  <w:tcW w:w="1900" w:type="dxa"/>
                  <w:shd w:val="clear" w:color="auto" w:fill="auto"/>
                </w:tcPr>
                <w:p w14:paraId="6EBF357B" w14:textId="77777777" w:rsidR="008B1803" w:rsidRPr="00237CE6" w:rsidRDefault="008B1803" w:rsidP="008B1803">
                  <w:pPr>
                    <w:pStyle w:val="ListParagraph"/>
                    <w:ind w:left="0"/>
                    <w:rPr>
                      <w:rFonts w:asciiTheme="minorHAnsi" w:hAnsiTheme="minorHAnsi" w:cstheme="minorHAnsi"/>
                      <w:color w:val="000000"/>
                      <w:sz w:val="22"/>
                      <w:szCs w:val="22"/>
                    </w:rPr>
                  </w:pPr>
                  <w:r w:rsidRPr="00237CE6">
                    <w:rPr>
                      <w:rFonts w:asciiTheme="minorHAnsi" w:hAnsiTheme="minorHAnsi" w:cstheme="minorHAnsi"/>
                      <w:color w:val="000000"/>
                      <w:sz w:val="22"/>
                      <w:szCs w:val="22"/>
                    </w:rPr>
                    <w:t xml:space="preserve">Preparedness plan updated </w:t>
                  </w:r>
                </w:p>
                <w:p w14:paraId="3873A399" w14:textId="77777777" w:rsidR="008B1803" w:rsidRPr="00237CE6" w:rsidRDefault="008B1803" w:rsidP="008B1803">
                  <w:pPr>
                    <w:pStyle w:val="ListParagraph"/>
                    <w:ind w:left="0"/>
                    <w:rPr>
                      <w:rFonts w:asciiTheme="minorHAnsi" w:hAnsiTheme="minorHAnsi" w:cstheme="minorHAnsi"/>
                      <w:color w:val="000000"/>
                      <w:sz w:val="22"/>
                      <w:szCs w:val="22"/>
                    </w:rPr>
                  </w:pPr>
                  <w:proofErr w:type="gramStart"/>
                  <w:r w:rsidRPr="00237CE6">
                    <w:rPr>
                      <w:rFonts w:asciiTheme="minorHAnsi" w:hAnsiTheme="minorHAnsi" w:cstheme="minorHAnsi"/>
                      <w:color w:val="000000"/>
                      <w:sz w:val="22"/>
                      <w:szCs w:val="22"/>
                    </w:rPr>
                    <w:t>Donors</w:t>
                  </w:r>
                  <w:proofErr w:type="gramEnd"/>
                  <w:r w:rsidRPr="00237CE6">
                    <w:rPr>
                      <w:rFonts w:asciiTheme="minorHAnsi" w:hAnsiTheme="minorHAnsi" w:cstheme="minorHAnsi"/>
                      <w:color w:val="000000"/>
                      <w:sz w:val="22"/>
                      <w:szCs w:val="22"/>
                    </w:rPr>
                    <w:t xml:space="preserve"> reports finalized (UN Action, CERF)</w:t>
                  </w:r>
                </w:p>
              </w:tc>
              <w:tc>
                <w:tcPr>
                  <w:tcW w:w="1080" w:type="dxa"/>
                  <w:shd w:val="clear" w:color="auto" w:fill="auto"/>
                </w:tcPr>
                <w:p w14:paraId="4757FE6C" w14:textId="77777777" w:rsidR="008B1803" w:rsidRPr="00237CE6" w:rsidRDefault="008B1803" w:rsidP="008B1803">
                  <w:pPr>
                    <w:jc w:val="both"/>
                    <w:rPr>
                      <w:rFonts w:asciiTheme="minorHAnsi" w:hAnsiTheme="minorHAnsi" w:cstheme="minorHAnsi"/>
                      <w:color w:val="000000"/>
                      <w:sz w:val="22"/>
                      <w:szCs w:val="22"/>
                    </w:rPr>
                  </w:pPr>
                  <w:r w:rsidRPr="00237CE6">
                    <w:rPr>
                      <w:rFonts w:asciiTheme="minorHAnsi" w:hAnsiTheme="minorHAnsi" w:cstheme="minorHAnsi"/>
                      <w:color w:val="000000"/>
                      <w:sz w:val="22"/>
                      <w:szCs w:val="22"/>
                    </w:rPr>
                    <w:t>English</w:t>
                  </w:r>
                </w:p>
              </w:tc>
              <w:tc>
                <w:tcPr>
                  <w:tcW w:w="1260" w:type="dxa"/>
                  <w:shd w:val="clear" w:color="auto" w:fill="auto"/>
                </w:tcPr>
                <w:p w14:paraId="15C846E9" w14:textId="77777777" w:rsidR="008B1803" w:rsidRPr="00237CE6" w:rsidRDefault="008B1803" w:rsidP="008B1803">
                  <w:pPr>
                    <w:rPr>
                      <w:rFonts w:asciiTheme="minorHAnsi" w:hAnsiTheme="minorHAnsi" w:cstheme="minorHAnsi"/>
                      <w:color w:val="000000"/>
                      <w:sz w:val="22"/>
                      <w:szCs w:val="22"/>
                    </w:rPr>
                  </w:pPr>
                  <w:r w:rsidRPr="00237CE6">
                    <w:rPr>
                      <w:rFonts w:asciiTheme="minorHAnsi" w:hAnsiTheme="minorHAnsi" w:cstheme="minorHAnsi"/>
                      <w:color w:val="000000"/>
                      <w:sz w:val="22"/>
                      <w:szCs w:val="22"/>
                    </w:rPr>
                    <w:t>30 August 2022</w:t>
                  </w:r>
                </w:p>
              </w:tc>
              <w:tc>
                <w:tcPr>
                  <w:tcW w:w="1610" w:type="dxa"/>
                  <w:vMerge/>
                  <w:shd w:val="clear" w:color="auto" w:fill="auto"/>
                </w:tcPr>
                <w:p w14:paraId="3F550BAC" w14:textId="77777777" w:rsidR="008B1803" w:rsidRPr="00237CE6" w:rsidRDefault="008B1803" w:rsidP="008B1803">
                  <w:pPr>
                    <w:jc w:val="both"/>
                    <w:rPr>
                      <w:rFonts w:asciiTheme="minorHAnsi" w:hAnsiTheme="minorHAnsi" w:cstheme="minorHAnsi"/>
                      <w:color w:val="000000"/>
                      <w:sz w:val="22"/>
                      <w:szCs w:val="22"/>
                    </w:rPr>
                  </w:pPr>
                </w:p>
              </w:tc>
            </w:tr>
          </w:tbl>
          <w:p w14:paraId="6211CEFD" w14:textId="77777777" w:rsidR="008B1803" w:rsidRPr="00237CE6" w:rsidRDefault="008B1803" w:rsidP="008B1803">
            <w:pPr>
              <w:pBdr>
                <w:top w:val="nil"/>
                <w:left w:val="nil"/>
                <w:bottom w:val="nil"/>
                <w:right w:val="nil"/>
                <w:between w:val="nil"/>
              </w:pBdr>
              <w:rPr>
                <w:rFonts w:asciiTheme="minorHAnsi" w:eastAsia="Cambria" w:hAnsiTheme="minorHAnsi" w:cstheme="minorHAnsi"/>
                <w:color w:val="000000"/>
                <w:sz w:val="22"/>
                <w:szCs w:val="22"/>
                <w:highlight w:val="yellow"/>
              </w:rPr>
            </w:pPr>
          </w:p>
          <w:p w14:paraId="00000022" w14:textId="5DAB6044" w:rsidR="008B1803" w:rsidRPr="00237CE6" w:rsidRDefault="008B1803" w:rsidP="008B1803">
            <w:pPr>
              <w:pBdr>
                <w:top w:val="nil"/>
                <w:left w:val="nil"/>
                <w:bottom w:val="nil"/>
                <w:right w:val="nil"/>
                <w:between w:val="nil"/>
              </w:pBdr>
              <w:rPr>
                <w:rFonts w:asciiTheme="minorHAnsi" w:eastAsia="Cambria" w:hAnsiTheme="minorHAnsi" w:cstheme="minorHAnsi"/>
                <w:color w:val="000000"/>
                <w:sz w:val="22"/>
                <w:szCs w:val="22"/>
                <w:highlight w:val="yellow"/>
              </w:rPr>
            </w:pPr>
            <w:r w:rsidRPr="00237CE6">
              <w:rPr>
                <w:rFonts w:asciiTheme="minorHAnsi" w:hAnsiTheme="minorHAnsi" w:cstheme="minorHAnsi"/>
                <w:sz w:val="22"/>
                <w:szCs w:val="22"/>
              </w:rPr>
              <w:t xml:space="preserve">As key deliverables are distributed over the 6 months, the consultant will receive a </w:t>
            </w:r>
            <w:proofErr w:type="gramStart"/>
            <w:r w:rsidRPr="00237CE6">
              <w:rPr>
                <w:rFonts w:asciiTheme="minorHAnsi" w:hAnsiTheme="minorHAnsi" w:cstheme="minorHAnsi"/>
                <w:sz w:val="22"/>
                <w:szCs w:val="22"/>
              </w:rPr>
              <w:t>monthly payments</w:t>
            </w:r>
            <w:proofErr w:type="gramEnd"/>
            <w:r w:rsidRPr="00237CE6">
              <w:rPr>
                <w:rFonts w:asciiTheme="minorHAnsi" w:hAnsiTheme="minorHAnsi" w:cstheme="minorHAnsi"/>
                <w:sz w:val="22"/>
                <w:szCs w:val="22"/>
              </w:rPr>
              <w:t xml:space="preserve"> after delivery of a the monthly report that will include details on the milestones achieved and milestones completed</w:t>
            </w:r>
          </w:p>
        </w:tc>
      </w:tr>
      <w:tr w:rsidR="008B1803" w:rsidRPr="00237CE6" w14:paraId="5860B7D7"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3"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lastRenderedPageBreak/>
              <w:t>Monitoring and progress control, including reporting requirements, periodicity format and deadline: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13A9A85" w14:textId="77777777" w:rsidR="008B1803" w:rsidRPr="00237CE6" w:rsidRDefault="008B1803" w:rsidP="008B1803">
            <w:pPr>
              <w:tabs>
                <w:tab w:val="left" w:pos="-720"/>
              </w:tabs>
              <w:spacing w:before="40" w:after="54"/>
              <w:rPr>
                <w:rFonts w:asciiTheme="minorHAnsi" w:eastAsia="Cambria" w:hAnsiTheme="minorHAnsi" w:cstheme="minorHAnsi"/>
                <w:sz w:val="22"/>
                <w:szCs w:val="22"/>
              </w:rPr>
            </w:pPr>
            <w:r w:rsidRPr="00237CE6">
              <w:rPr>
                <w:rFonts w:asciiTheme="minorHAnsi" w:eastAsia="Cambria" w:hAnsiTheme="minorHAnsi" w:cstheme="minorHAnsi"/>
                <w:sz w:val="22"/>
                <w:szCs w:val="22"/>
              </w:rPr>
              <w:t xml:space="preserve">The consultant will deliver the tasks based on milestones and deliverables agreed upon and reflected in the contract terms. These deliverables include reporting requirements as well as a timeline.  </w:t>
            </w:r>
          </w:p>
          <w:p w14:paraId="6CFFD72B" w14:textId="77777777" w:rsidR="008B1803" w:rsidRPr="00237CE6" w:rsidRDefault="008B1803" w:rsidP="008B1803">
            <w:pPr>
              <w:tabs>
                <w:tab w:val="left" w:pos="-720"/>
              </w:tabs>
              <w:spacing w:before="40" w:after="54"/>
              <w:rPr>
                <w:rFonts w:asciiTheme="minorHAnsi" w:eastAsia="Cambria" w:hAnsiTheme="minorHAnsi" w:cstheme="minorHAnsi"/>
                <w:sz w:val="22"/>
                <w:szCs w:val="22"/>
              </w:rPr>
            </w:pPr>
          </w:p>
          <w:p w14:paraId="2DEE8794" w14:textId="77777777" w:rsidR="008B1803" w:rsidRPr="00237CE6" w:rsidRDefault="008B1803" w:rsidP="008B1803">
            <w:pPr>
              <w:pStyle w:val="ListParagraph"/>
              <w:numPr>
                <w:ilvl w:val="0"/>
                <w:numId w:val="10"/>
              </w:numPr>
              <w:tabs>
                <w:tab w:val="left" w:pos="-720"/>
              </w:tabs>
              <w:suppressAutoHyphens/>
              <w:spacing w:before="40" w:after="54"/>
              <w:rPr>
                <w:rFonts w:asciiTheme="minorHAnsi" w:hAnsiTheme="minorHAnsi" w:cstheme="minorHAnsi"/>
                <w:sz w:val="22"/>
                <w:szCs w:val="22"/>
              </w:rPr>
            </w:pPr>
            <w:r w:rsidRPr="00237CE6">
              <w:rPr>
                <w:rFonts w:asciiTheme="minorHAnsi" w:hAnsiTheme="minorHAnsi" w:cstheme="minorHAnsi"/>
                <w:sz w:val="22"/>
                <w:szCs w:val="22"/>
              </w:rPr>
              <w:t xml:space="preserve">Final Report to be submitted at the end of the consultancy </w:t>
            </w:r>
          </w:p>
          <w:p w14:paraId="00000024" w14:textId="32D41574" w:rsidR="008B1803" w:rsidRPr="00237CE6" w:rsidRDefault="008B1803" w:rsidP="008B1803">
            <w:pPr>
              <w:pStyle w:val="ListParagraph"/>
              <w:numPr>
                <w:ilvl w:val="0"/>
                <w:numId w:val="10"/>
              </w:numPr>
              <w:tabs>
                <w:tab w:val="left" w:pos="-720"/>
              </w:tabs>
              <w:spacing w:before="40" w:after="54"/>
              <w:rPr>
                <w:rFonts w:asciiTheme="minorHAnsi" w:eastAsia="Cambria" w:hAnsiTheme="minorHAnsi" w:cstheme="minorHAnsi"/>
                <w:sz w:val="22"/>
                <w:szCs w:val="22"/>
              </w:rPr>
            </w:pPr>
            <w:r w:rsidRPr="00237CE6">
              <w:rPr>
                <w:rFonts w:asciiTheme="minorHAnsi" w:hAnsiTheme="minorHAnsi" w:cstheme="minorHAnsi"/>
                <w:sz w:val="22"/>
                <w:szCs w:val="22"/>
              </w:rPr>
              <w:t>Bi-monthly updates through bilateral meetings with supervisor</w:t>
            </w:r>
          </w:p>
        </w:tc>
      </w:tr>
      <w:tr w:rsidR="008B1803" w:rsidRPr="00237CE6" w14:paraId="1179A3BA"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5"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t xml:space="preserve">Supervisory arrangements: </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6" w14:textId="5485B24D" w:rsidR="008B1803" w:rsidRPr="00237CE6" w:rsidRDefault="008B1803" w:rsidP="008B1803">
            <w:pPr>
              <w:tabs>
                <w:tab w:val="left" w:pos="-720"/>
              </w:tabs>
              <w:spacing w:before="40" w:after="54"/>
              <w:rPr>
                <w:rFonts w:asciiTheme="minorHAnsi" w:eastAsia="Cambria" w:hAnsiTheme="minorHAnsi" w:cstheme="minorHAnsi"/>
                <w:sz w:val="22"/>
                <w:szCs w:val="22"/>
              </w:rPr>
            </w:pPr>
            <w:r w:rsidRPr="00237CE6">
              <w:rPr>
                <w:rFonts w:asciiTheme="minorHAnsi" w:eastAsia="Cambria" w:hAnsiTheme="minorHAnsi" w:cstheme="minorHAnsi"/>
                <w:sz w:val="22"/>
                <w:szCs w:val="22"/>
              </w:rPr>
              <w:t xml:space="preserve">The consultant will work under the guidance of UNFPA </w:t>
            </w:r>
            <w:r w:rsidRPr="00237CE6">
              <w:rPr>
                <w:rFonts w:asciiTheme="minorHAnsi" w:hAnsiTheme="minorHAnsi" w:cstheme="minorHAnsi"/>
                <w:sz w:val="22"/>
                <w:szCs w:val="22"/>
              </w:rPr>
              <w:t>Head of Office</w:t>
            </w:r>
          </w:p>
        </w:tc>
      </w:tr>
      <w:tr w:rsidR="008B1803" w:rsidRPr="00237CE6" w14:paraId="028ACA46"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7"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t>Expected travel:</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8" w14:textId="6C178F0A" w:rsidR="008B1803" w:rsidRPr="00237CE6" w:rsidRDefault="008B1803" w:rsidP="008B1803">
            <w:pPr>
              <w:tabs>
                <w:tab w:val="left" w:pos="-720"/>
              </w:tabs>
              <w:spacing w:before="40" w:after="54"/>
              <w:rPr>
                <w:rFonts w:asciiTheme="minorHAnsi" w:eastAsia="Cambria" w:hAnsiTheme="minorHAnsi" w:cstheme="minorHAnsi"/>
                <w:sz w:val="22"/>
                <w:szCs w:val="22"/>
              </w:rPr>
            </w:pPr>
            <w:r w:rsidRPr="00237CE6">
              <w:rPr>
                <w:rFonts w:asciiTheme="minorHAnsi" w:eastAsia="Cambria" w:hAnsiTheme="minorHAnsi" w:cstheme="minorHAnsi"/>
                <w:sz w:val="22"/>
                <w:szCs w:val="22"/>
              </w:rPr>
              <w:t>The consultant will be expected to travel to carry out the various tasks spelled out in the TORs</w:t>
            </w:r>
          </w:p>
        </w:tc>
      </w:tr>
      <w:tr w:rsidR="008B1803" w:rsidRPr="00237CE6" w14:paraId="217E9FA5"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9"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lastRenderedPageBreak/>
              <w:t xml:space="preserve">Required expertise, </w:t>
            </w:r>
            <w:proofErr w:type="gramStart"/>
            <w:r w:rsidRPr="00237CE6">
              <w:rPr>
                <w:rFonts w:asciiTheme="minorHAnsi" w:eastAsia="Calibri" w:hAnsiTheme="minorHAnsi" w:cstheme="minorHAnsi"/>
                <w:sz w:val="22"/>
                <w:szCs w:val="22"/>
              </w:rPr>
              <w:t>qualifications</w:t>
            </w:r>
            <w:proofErr w:type="gramEnd"/>
            <w:r w:rsidRPr="00237CE6">
              <w:rPr>
                <w:rFonts w:asciiTheme="minorHAnsi" w:eastAsia="Calibri" w:hAnsiTheme="minorHAnsi" w:cstheme="minorHAnsi"/>
                <w:sz w:val="22"/>
                <w:szCs w:val="22"/>
              </w:rPr>
              <w:t xml:space="preserve"> and competencies, including language requirements: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A" w14:textId="77777777" w:rsidR="008B1803" w:rsidRPr="00237CE6" w:rsidRDefault="008B1803" w:rsidP="008B1803">
            <w:pPr>
              <w:tabs>
                <w:tab w:val="left" w:pos="-720"/>
              </w:tabs>
              <w:spacing w:before="40" w:after="54"/>
              <w:rPr>
                <w:rFonts w:asciiTheme="minorHAnsi" w:eastAsia="Cambria" w:hAnsiTheme="minorHAnsi" w:cstheme="minorHAnsi"/>
                <w:sz w:val="22"/>
                <w:szCs w:val="22"/>
              </w:rPr>
            </w:pPr>
            <w:r w:rsidRPr="00237CE6">
              <w:rPr>
                <w:rFonts w:asciiTheme="minorHAnsi" w:eastAsia="Cambria" w:hAnsiTheme="minorHAnsi" w:cstheme="minorHAnsi"/>
                <w:sz w:val="22"/>
                <w:szCs w:val="22"/>
              </w:rPr>
              <w:t xml:space="preserve">The Consultant should </w:t>
            </w:r>
            <w:proofErr w:type="spellStart"/>
            <w:r w:rsidRPr="00237CE6">
              <w:rPr>
                <w:rFonts w:asciiTheme="minorHAnsi" w:eastAsia="Cambria" w:hAnsiTheme="minorHAnsi" w:cstheme="minorHAnsi"/>
                <w:sz w:val="22"/>
                <w:szCs w:val="22"/>
              </w:rPr>
              <w:t>fulfill</w:t>
            </w:r>
            <w:proofErr w:type="spellEnd"/>
            <w:r w:rsidRPr="00237CE6">
              <w:rPr>
                <w:rFonts w:asciiTheme="minorHAnsi" w:eastAsia="Cambria" w:hAnsiTheme="minorHAnsi" w:cstheme="minorHAnsi"/>
                <w:sz w:val="22"/>
                <w:szCs w:val="22"/>
              </w:rPr>
              <w:t xml:space="preserve"> the following requirements: </w:t>
            </w:r>
          </w:p>
          <w:p w14:paraId="76848E62" w14:textId="77777777" w:rsidR="008B1803" w:rsidRPr="00237CE6" w:rsidRDefault="008B1803" w:rsidP="008B1803">
            <w:pPr>
              <w:tabs>
                <w:tab w:val="left" w:pos="-720"/>
              </w:tabs>
              <w:spacing w:before="40" w:after="54"/>
              <w:rPr>
                <w:rFonts w:asciiTheme="minorHAnsi" w:eastAsia="Cambria" w:hAnsiTheme="minorHAnsi" w:cstheme="minorHAnsi"/>
                <w:b/>
                <w:sz w:val="22"/>
                <w:szCs w:val="22"/>
              </w:rPr>
            </w:pPr>
            <w:r w:rsidRPr="00237CE6">
              <w:rPr>
                <w:rFonts w:asciiTheme="minorHAnsi" w:eastAsia="Cambria" w:hAnsiTheme="minorHAnsi" w:cstheme="minorHAnsi"/>
                <w:b/>
                <w:sz w:val="22"/>
                <w:szCs w:val="22"/>
              </w:rPr>
              <w:t>Education</w:t>
            </w:r>
            <w:r w:rsidRPr="00237CE6">
              <w:rPr>
                <w:rFonts w:asciiTheme="minorHAnsi" w:eastAsia="Cambria" w:hAnsiTheme="minorHAnsi" w:cstheme="minorHAnsi"/>
                <w:sz w:val="22"/>
                <w:szCs w:val="22"/>
              </w:rPr>
              <w:t xml:space="preserve">: </w:t>
            </w:r>
            <w:r w:rsidRPr="00237CE6">
              <w:rPr>
                <w:rFonts w:asciiTheme="minorHAnsi" w:hAnsiTheme="minorHAnsi" w:cstheme="minorHAnsi"/>
                <w:sz w:val="22"/>
                <w:szCs w:val="22"/>
              </w:rPr>
              <w:t xml:space="preserve">Advanced degree in social work or other social sciences, public health, community health, international relations, international law, human </w:t>
            </w:r>
            <w:proofErr w:type="gramStart"/>
            <w:r w:rsidRPr="00237CE6">
              <w:rPr>
                <w:rFonts w:asciiTheme="minorHAnsi" w:hAnsiTheme="minorHAnsi" w:cstheme="minorHAnsi"/>
                <w:sz w:val="22"/>
                <w:szCs w:val="22"/>
              </w:rPr>
              <w:t>rights</w:t>
            </w:r>
            <w:proofErr w:type="gramEnd"/>
            <w:r w:rsidRPr="00237CE6">
              <w:rPr>
                <w:rFonts w:asciiTheme="minorHAnsi" w:hAnsiTheme="minorHAnsi" w:cstheme="minorHAnsi"/>
                <w:sz w:val="22"/>
                <w:szCs w:val="22"/>
              </w:rPr>
              <w:t xml:space="preserve"> or related field</w:t>
            </w:r>
            <w:r w:rsidRPr="00237CE6">
              <w:rPr>
                <w:rFonts w:asciiTheme="minorHAnsi" w:eastAsia="Cambria" w:hAnsiTheme="minorHAnsi" w:cstheme="minorHAnsi"/>
                <w:b/>
                <w:sz w:val="22"/>
                <w:szCs w:val="22"/>
              </w:rPr>
              <w:t xml:space="preserve"> </w:t>
            </w:r>
          </w:p>
          <w:p w14:paraId="0000002C" w14:textId="507D6B27" w:rsidR="008B1803" w:rsidRPr="00237CE6" w:rsidRDefault="008B1803" w:rsidP="008B1803">
            <w:pPr>
              <w:tabs>
                <w:tab w:val="left" w:pos="-720"/>
              </w:tabs>
              <w:spacing w:before="40" w:after="54"/>
              <w:rPr>
                <w:rFonts w:asciiTheme="minorHAnsi" w:eastAsia="Cambria" w:hAnsiTheme="minorHAnsi" w:cstheme="minorHAnsi"/>
                <w:sz w:val="22"/>
                <w:szCs w:val="22"/>
              </w:rPr>
            </w:pPr>
            <w:r w:rsidRPr="00237CE6">
              <w:rPr>
                <w:rFonts w:asciiTheme="minorHAnsi" w:eastAsia="Cambria" w:hAnsiTheme="minorHAnsi" w:cstheme="minorHAnsi"/>
                <w:b/>
                <w:sz w:val="22"/>
                <w:szCs w:val="22"/>
              </w:rPr>
              <w:t xml:space="preserve">Experience: </w:t>
            </w:r>
          </w:p>
          <w:p w14:paraId="53D14F2B" w14:textId="77777777" w:rsidR="008B1803" w:rsidRPr="00237CE6" w:rsidRDefault="008B1803" w:rsidP="008B1803">
            <w:pPr>
              <w:numPr>
                <w:ilvl w:val="0"/>
                <w:numId w:val="11"/>
              </w:numPr>
              <w:rPr>
                <w:rFonts w:asciiTheme="minorHAnsi" w:hAnsiTheme="minorHAnsi" w:cstheme="minorHAnsi"/>
                <w:sz w:val="22"/>
                <w:szCs w:val="22"/>
              </w:rPr>
            </w:pPr>
            <w:r w:rsidRPr="00237CE6">
              <w:rPr>
                <w:rFonts w:asciiTheme="minorHAnsi" w:hAnsiTheme="minorHAnsi" w:cstheme="minorHAnsi"/>
                <w:sz w:val="22"/>
                <w:szCs w:val="22"/>
              </w:rPr>
              <w:t>7-10 years of experience working on gender-based violence, of which 4 are at the international level, preferably in a humanitarian context.</w:t>
            </w:r>
          </w:p>
          <w:p w14:paraId="1FD6FBEA" w14:textId="77777777" w:rsidR="008B1803" w:rsidRPr="00237CE6" w:rsidRDefault="008B1803" w:rsidP="008B1803">
            <w:pPr>
              <w:numPr>
                <w:ilvl w:val="0"/>
                <w:numId w:val="11"/>
              </w:numPr>
              <w:rPr>
                <w:rFonts w:asciiTheme="minorHAnsi" w:hAnsiTheme="minorHAnsi" w:cstheme="minorHAnsi"/>
                <w:sz w:val="22"/>
                <w:szCs w:val="22"/>
              </w:rPr>
            </w:pPr>
            <w:r w:rsidRPr="00237CE6">
              <w:rPr>
                <w:rFonts w:asciiTheme="minorHAnsi" w:hAnsiTheme="minorHAnsi" w:cstheme="minorHAnsi"/>
                <w:sz w:val="22"/>
                <w:szCs w:val="22"/>
              </w:rPr>
              <w:t>Experience leading inter-agency coordination mechanisms with a wide range of stakeholders. Demonstrable knowledge of the critical components to facilitate effective inter-agency coordination.</w:t>
            </w:r>
          </w:p>
          <w:p w14:paraId="158B0AF0" w14:textId="77777777" w:rsidR="008B1803" w:rsidRPr="00237CE6" w:rsidRDefault="008B1803" w:rsidP="008B1803">
            <w:pPr>
              <w:numPr>
                <w:ilvl w:val="0"/>
                <w:numId w:val="11"/>
              </w:numPr>
              <w:rPr>
                <w:rFonts w:asciiTheme="minorHAnsi" w:hAnsiTheme="minorHAnsi" w:cstheme="minorHAnsi"/>
                <w:sz w:val="22"/>
                <w:szCs w:val="22"/>
              </w:rPr>
            </w:pPr>
            <w:r w:rsidRPr="00237CE6">
              <w:rPr>
                <w:rFonts w:asciiTheme="minorHAnsi" w:hAnsiTheme="minorHAnsi" w:cstheme="minorHAnsi"/>
                <w:sz w:val="22"/>
                <w:szCs w:val="22"/>
              </w:rPr>
              <w:t>Awareness and demonstrable knowledge of how GBV manifests in humanitarian settings and ability to describe context-specific prevention and response actions.</w:t>
            </w:r>
          </w:p>
          <w:p w14:paraId="122F653E" w14:textId="77777777" w:rsidR="008B1803" w:rsidRPr="00237CE6" w:rsidRDefault="008B1803" w:rsidP="008B1803">
            <w:pPr>
              <w:numPr>
                <w:ilvl w:val="0"/>
                <w:numId w:val="11"/>
              </w:numPr>
              <w:rPr>
                <w:rFonts w:asciiTheme="minorHAnsi" w:hAnsiTheme="minorHAnsi" w:cstheme="minorHAnsi"/>
                <w:sz w:val="22"/>
                <w:szCs w:val="22"/>
              </w:rPr>
            </w:pPr>
            <w:r w:rsidRPr="00237CE6">
              <w:rPr>
                <w:rFonts w:asciiTheme="minorHAnsi" w:hAnsiTheme="minorHAnsi" w:cstheme="minorHAnsi"/>
                <w:sz w:val="22"/>
                <w:szCs w:val="22"/>
              </w:rPr>
              <w:t>Demonstrable knowledge of humanitarian emergency operations, including the Cluster System and HPC, and roles/responsibilities of key humanitarian actors.</w:t>
            </w:r>
          </w:p>
          <w:p w14:paraId="3F4BBD03" w14:textId="77777777" w:rsidR="008B1803" w:rsidRPr="00237CE6" w:rsidRDefault="008B1803" w:rsidP="008B1803">
            <w:pPr>
              <w:numPr>
                <w:ilvl w:val="0"/>
                <w:numId w:val="11"/>
              </w:numPr>
              <w:rPr>
                <w:rFonts w:asciiTheme="minorHAnsi" w:hAnsiTheme="minorHAnsi" w:cstheme="minorHAnsi"/>
                <w:sz w:val="22"/>
                <w:szCs w:val="22"/>
              </w:rPr>
            </w:pPr>
            <w:r w:rsidRPr="00237CE6">
              <w:rPr>
                <w:rFonts w:asciiTheme="minorHAnsi" w:hAnsiTheme="minorHAnsi" w:cstheme="minorHAnsi"/>
                <w:sz w:val="22"/>
                <w:szCs w:val="22"/>
              </w:rPr>
              <w:t>Experience designing and managing GBV programmes in an NGO (recommended).</w:t>
            </w:r>
          </w:p>
          <w:p w14:paraId="06E34D6F" w14:textId="77777777" w:rsidR="008B1803" w:rsidRPr="00237CE6" w:rsidRDefault="008B1803" w:rsidP="008B1803">
            <w:pPr>
              <w:tabs>
                <w:tab w:val="left" w:pos="-720"/>
              </w:tabs>
              <w:spacing w:before="40" w:after="54"/>
              <w:rPr>
                <w:rFonts w:asciiTheme="minorHAnsi" w:eastAsia="Cambria" w:hAnsiTheme="minorHAnsi" w:cstheme="minorHAnsi"/>
                <w:b/>
                <w:sz w:val="22"/>
                <w:szCs w:val="22"/>
              </w:rPr>
            </w:pPr>
            <w:r w:rsidRPr="00237CE6">
              <w:rPr>
                <w:rFonts w:asciiTheme="minorHAnsi" w:eastAsia="Cambria" w:hAnsiTheme="minorHAnsi" w:cstheme="minorHAnsi"/>
                <w:b/>
                <w:sz w:val="22"/>
                <w:szCs w:val="22"/>
              </w:rPr>
              <w:t xml:space="preserve">Language and other skills: </w:t>
            </w:r>
          </w:p>
          <w:p w14:paraId="00000034" w14:textId="5FFB753B" w:rsidR="008B1803" w:rsidRPr="00237CE6" w:rsidRDefault="008B1803" w:rsidP="008B1803">
            <w:pPr>
              <w:numPr>
                <w:ilvl w:val="0"/>
                <w:numId w:val="11"/>
              </w:numPr>
              <w:rPr>
                <w:rFonts w:asciiTheme="minorHAnsi" w:hAnsiTheme="minorHAnsi" w:cstheme="minorHAnsi"/>
                <w:sz w:val="22"/>
                <w:szCs w:val="22"/>
              </w:rPr>
            </w:pPr>
            <w:r w:rsidRPr="00237CE6">
              <w:rPr>
                <w:rFonts w:asciiTheme="minorHAnsi" w:hAnsiTheme="minorHAnsi" w:cstheme="minorHAnsi"/>
                <w:sz w:val="22"/>
                <w:szCs w:val="22"/>
              </w:rPr>
              <w:t>Proficiency in English, Arabic is an asset.</w:t>
            </w:r>
          </w:p>
        </w:tc>
      </w:tr>
      <w:tr w:rsidR="008B1803" w:rsidRPr="00237CE6" w14:paraId="11BF49F9"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5" w14:textId="77777777" w:rsidR="008B1803" w:rsidRPr="00237CE6" w:rsidRDefault="008B1803" w:rsidP="008B1803">
            <w:pPr>
              <w:tabs>
                <w:tab w:val="left" w:pos="-720"/>
              </w:tabs>
              <w:spacing w:before="40" w:after="54"/>
              <w:rPr>
                <w:rFonts w:asciiTheme="minorHAnsi" w:eastAsia="Calibri" w:hAnsiTheme="minorHAnsi" w:cstheme="minorHAnsi"/>
                <w:sz w:val="22"/>
                <w:szCs w:val="22"/>
              </w:rPr>
            </w:pPr>
            <w:r w:rsidRPr="00237CE6">
              <w:rPr>
                <w:rFonts w:asciiTheme="minorHAnsi" w:eastAsia="Calibri" w:hAnsiTheme="minorHAnsi" w:cstheme="minorHAnsi"/>
                <w:sz w:val="22"/>
                <w:szCs w:val="22"/>
              </w:rPr>
              <w:t>Inputs / services to be provided by UNFPA or implementing partner (</w:t>
            </w:r>
            <w:proofErr w:type="spellStart"/>
            <w:r w:rsidRPr="00237CE6">
              <w:rPr>
                <w:rFonts w:asciiTheme="minorHAnsi" w:eastAsia="Calibri" w:hAnsiTheme="minorHAnsi" w:cstheme="minorHAnsi"/>
                <w:sz w:val="22"/>
                <w:szCs w:val="22"/>
              </w:rPr>
              <w:t>e.g</w:t>
            </w:r>
            <w:proofErr w:type="spellEnd"/>
            <w:r w:rsidRPr="00237CE6">
              <w:rPr>
                <w:rFonts w:asciiTheme="minorHAnsi" w:eastAsia="Calibri" w:hAnsiTheme="minorHAnsi" w:cstheme="minorHAnsi"/>
                <w:sz w:val="22"/>
                <w:szCs w:val="22"/>
              </w:rPr>
              <w:t xml:space="preserve"> support services, office space, equipment), if applicable: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6" w14:textId="77777777" w:rsidR="008B1803" w:rsidRPr="00237CE6" w:rsidRDefault="008B1803" w:rsidP="008B1803">
            <w:pPr>
              <w:numPr>
                <w:ilvl w:val="0"/>
                <w:numId w:val="1"/>
              </w:numPr>
              <w:pBdr>
                <w:top w:val="nil"/>
                <w:left w:val="nil"/>
                <w:bottom w:val="nil"/>
                <w:right w:val="nil"/>
                <w:between w:val="nil"/>
              </w:pBdr>
              <w:tabs>
                <w:tab w:val="left" w:pos="-720"/>
              </w:tabs>
              <w:spacing w:before="40" w:after="54"/>
              <w:rPr>
                <w:rFonts w:asciiTheme="minorHAnsi" w:eastAsia="Cambria" w:hAnsiTheme="minorHAnsi" w:cstheme="minorHAnsi"/>
                <w:color w:val="000000"/>
                <w:sz w:val="22"/>
                <w:szCs w:val="22"/>
              </w:rPr>
            </w:pPr>
            <w:r w:rsidRPr="00237CE6">
              <w:rPr>
                <w:rFonts w:asciiTheme="minorHAnsi" w:eastAsia="Cambria" w:hAnsiTheme="minorHAnsi" w:cstheme="minorHAnsi"/>
                <w:color w:val="000000"/>
                <w:sz w:val="22"/>
                <w:szCs w:val="22"/>
              </w:rPr>
              <w:t>Relevant documents</w:t>
            </w:r>
          </w:p>
          <w:p w14:paraId="00000037" w14:textId="77777777" w:rsidR="008B1803" w:rsidRPr="00237CE6" w:rsidRDefault="008B1803" w:rsidP="008B1803">
            <w:pPr>
              <w:numPr>
                <w:ilvl w:val="0"/>
                <w:numId w:val="1"/>
              </w:numPr>
              <w:pBdr>
                <w:top w:val="nil"/>
                <w:left w:val="nil"/>
                <w:bottom w:val="nil"/>
                <w:right w:val="nil"/>
                <w:between w:val="nil"/>
              </w:pBdr>
              <w:tabs>
                <w:tab w:val="left" w:pos="-720"/>
              </w:tabs>
              <w:spacing w:before="40" w:after="54"/>
              <w:rPr>
                <w:rFonts w:asciiTheme="minorHAnsi" w:eastAsia="Cambria" w:hAnsiTheme="minorHAnsi" w:cstheme="minorHAnsi"/>
                <w:color w:val="000000"/>
                <w:sz w:val="22"/>
                <w:szCs w:val="22"/>
              </w:rPr>
            </w:pPr>
            <w:r w:rsidRPr="00237CE6">
              <w:rPr>
                <w:rFonts w:asciiTheme="minorHAnsi" w:eastAsia="Cambria" w:hAnsiTheme="minorHAnsi" w:cstheme="minorHAnsi"/>
                <w:color w:val="000000"/>
                <w:sz w:val="22"/>
                <w:szCs w:val="22"/>
              </w:rPr>
              <w:t>Continuous guidance</w:t>
            </w:r>
          </w:p>
          <w:p w14:paraId="00000039" w14:textId="77777777" w:rsidR="008B1803" w:rsidRPr="00237CE6" w:rsidRDefault="008B1803" w:rsidP="008B1803">
            <w:pPr>
              <w:numPr>
                <w:ilvl w:val="0"/>
                <w:numId w:val="1"/>
              </w:numPr>
              <w:pBdr>
                <w:top w:val="nil"/>
                <w:left w:val="nil"/>
                <w:bottom w:val="nil"/>
                <w:right w:val="nil"/>
                <w:between w:val="nil"/>
              </w:pBdr>
              <w:tabs>
                <w:tab w:val="left" w:pos="-720"/>
              </w:tabs>
              <w:spacing w:before="40" w:after="54"/>
              <w:rPr>
                <w:rFonts w:asciiTheme="minorHAnsi" w:eastAsia="Cambria" w:hAnsiTheme="minorHAnsi" w:cstheme="minorHAnsi"/>
                <w:color w:val="000000"/>
                <w:sz w:val="22"/>
                <w:szCs w:val="22"/>
              </w:rPr>
            </w:pPr>
            <w:r w:rsidRPr="00237CE6">
              <w:rPr>
                <w:rFonts w:asciiTheme="minorHAnsi" w:eastAsia="Cambria" w:hAnsiTheme="minorHAnsi" w:cstheme="minorHAnsi"/>
                <w:color w:val="000000"/>
                <w:sz w:val="22"/>
                <w:szCs w:val="22"/>
              </w:rPr>
              <w:t>Working station</w:t>
            </w:r>
          </w:p>
          <w:p w14:paraId="0000003A" w14:textId="77777777" w:rsidR="008B1803" w:rsidRPr="00237CE6" w:rsidRDefault="008B1803" w:rsidP="008B1803">
            <w:pPr>
              <w:numPr>
                <w:ilvl w:val="0"/>
                <w:numId w:val="1"/>
              </w:numPr>
              <w:pBdr>
                <w:top w:val="nil"/>
                <w:left w:val="nil"/>
                <w:bottom w:val="nil"/>
                <w:right w:val="nil"/>
                <w:between w:val="nil"/>
              </w:pBdr>
              <w:tabs>
                <w:tab w:val="left" w:pos="-720"/>
              </w:tabs>
              <w:spacing w:before="40" w:after="54"/>
              <w:rPr>
                <w:rFonts w:asciiTheme="minorHAnsi" w:eastAsia="Cambria" w:hAnsiTheme="minorHAnsi" w:cstheme="minorHAnsi"/>
                <w:color w:val="000000"/>
                <w:sz w:val="22"/>
                <w:szCs w:val="22"/>
              </w:rPr>
            </w:pPr>
            <w:r w:rsidRPr="00237CE6">
              <w:rPr>
                <w:rFonts w:asciiTheme="minorHAnsi" w:eastAsia="Cambria" w:hAnsiTheme="minorHAnsi" w:cstheme="minorHAnsi"/>
                <w:color w:val="000000"/>
                <w:sz w:val="22"/>
                <w:szCs w:val="22"/>
              </w:rPr>
              <w:t>IT equipment</w:t>
            </w:r>
          </w:p>
        </w:tc>
      </w:tr>
      <w:tr w:rsidR="008B1803" w:rsidRPr="00237CE6" w14:paraId="72859571"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B" w14:textId="77777777" w:rsidR="008B1803" w:rsidRPr="00237CE6" w:rsidRDefault="008B1803" w:rsidP="008B1803">
            <w:pPr>
              <w:tabs>
                <w:tab w:val="left" w:pos="-720"/>
              </w:tabs>
              <w:rPr>
                <w:rFonts w:asciiTheme="minorHAnsi" w:eastAsia="Calibri" w:hAnsiTheme="minorHAnsi" w:cstheme="minorHAnsi"/>
                <w:sz w:val="22"/>
                <w:szCs w:val="22"/>
              </w:rPr>
            </w:pPr>
            <w:r w:rsidRPr="00237CE6">
              <w:rPr>
                <w:rFonts w:asciiTheme="minorHAnsi" w:eastAsia="Calibri" w:hAnsiTheme="minorHAnsi" w:cstheme="minorHAnsi"/>
                <w:sz w:val="22"/>
                <w:szCs w:val="22"/>
              </w:rPr>
              <w:t>Other relevant information or special conditions, if any: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C" w14:textId="77777777" w:rsidR="008B1803" w:rsidRPr="00237CE6" w:rsidRDefault="008B1803" w:rsidP="008B1803">
            <w:pPr>
              <w:tabs>
                <w:tab w:val="left" w:pos="-720"/>
              </w:tabs>
              <w:rPr>
                <w:rFonts w:asciiTheme="minorHAnsi" w:eastAsia="Cambria" w:hAnsiTheme="minorHAnsi" w:cstheme="minorHAnsi"/>
                <w:sz w:val="22"/>
                <w:szCs w:val="22"/>
              </w:rPr>
            </w:pPr>
            <w:r w:rsidRPr="00237CE6">
              <w:rPr>
                <w:rFonts w:asciiTheme="minorHAnsi" w:eastAsia="Cambria" w:hAnsiTheme="minorHAnsi" w:cstheme="minorHAnsi"/>
                <w:sz w:val="22"/>
                <w:szCs w:val="22"/>
              </w:rPr>
              <w:t>N/A</w:t>
            </w:r>
          </w:p>
          <w:p w14:paraId="0000003D" w14:textId="77777777" w:rsidR="008B1803" w:rsidRPr="00237CE6" w:rsidRDefault="008B1803" w:rsidP="008B1803">
            <w:pPr>
              <w:tabs>
                <w:tab w:val="left" w:pos="-720"/>
              </w:tabs>
              <w:rPr>
                <w:rFonts w:asciiTheme="minorHAnsi" w:eastAsia="Calibri" w:hAnsiTheme="minorHAnsi" w:cstheme="minorHAnsi"/>
                <w:sz w:val="22"/>
                <w:szCs w:val="22"/>
              </w:rPr>
            </w:pPr>
          </w:p>
        </w:tc>
      </w:tr>
      <w:tr w:rsidR="008B1803" w:rsidRPr="00237CE6" w14:paraId="09C314E7" w14:textId="77777777">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E" w14:textId="77777777" w:rsidR="008B1803" w:rsidRPr="00237CE6" w:rsidRDefault="008B1803" w:rsidP="008B1803">
            <w:pPr>
              <w:tabs>
                <w:tab w:val="left" w:pos="-720"/>
              </w:tabs>
              <w:rPr>
                <w:rFonts w:asciiTheme="minorHAnsi" w:eastAsia="Calibri" w:hAnsiTheme="minorHAnsi" w:cstheme="minorHAnsi"/>
                <w:sz w:val="22"/>
                <w:szCs w:val="22"/>
                <w:highlight w:val="yellow"/>
              </w:rPr>
            </w:pPr>
            <w:r w:rsidRPr="00237CE6">
              <w:rPr>
                <w:rFonts w:asciiTheme="minorHAnsi" w:eastAsia="Calibri" w:hAnsiTheme="minorHAnsi" w:cstheme="minorHAnsi"/>
                <w:sz w:val="22"/>
                <w:szCs w:val="22"/>
                <w:highlight w:val="yellow"/>
              </w:rPr>
              <w:t>Signature of Requesting Officer in Hiring Office: XXXXXX</w:t>
            </w:r>
          </w:p>
          <w:p w14:paraId="0000003F" w14:textId="77777777" w:rsidR="008B1803" w:rsidRPr="00237CE6" w:rsidRDefault="008B1803" w:rsidP="008B1803">
            <w:pPr>
              <w:tabs>
                <w:tab w:val="left" w:pos="-720"/>
              </w:tabs>
              <w:rPr>
                <w:rFonts w:asciiTheme="minorHAnsi" w:eastAsia="Calibri" w:hAnsiTheme="minorHAnsi" w:cstheme="minorHAnsi"/>
                <w:sz w:val="22"/>
                <w:szCs w:val="22"/>
                <w:highlight w:val="yellow"/>
              </w:rPr>
            </w:pPr>
            <w:r w:rsidRPr="00237CE6">
              <w:rPr>
                <w:rFonts w:asciiTheme="minorHAnsi" w:eastAsia="Calibri" w:hAnsiTheme="minorHAnsi" w:cstheme="minorHAnsi"/>
                <w:sz w:val="22"/>
                <w:szCs w:val="22"/>
                <w:highlight w:val="yellow"/>
              </w:rPr>
              <w:t>Date: XXXXXX</w:t>
            </w:r>
          </w:p>
        </w:tc>
      </w:tr>
      <w:tr w:rsidR="008B1803" w:rsidRPr="00237CE6" w14:paraId="1C059758" w14:textId="77777777">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1" w14:textId="77777777" w:rsidR="008B1803" w:rsidRPr="00237CE6" w:rsidRDefault="008B1803" w:rsidP="008B1803">
            <w:pPr>
              <w:tabs>
                <w:tab w:val="left" w:pos="-720"/>
              </w:tabs>
              <w:rPr>
                <w:rFonts w:asciiTheme="minorHAnsi" w:eastAsia="Calibri" w:hAnsiTheme="minorHAnsi" w:cstheme="minorHAnsi"/>
                <w:sz w:val="22"/>
                <w:szCs w:val="22"/>
              </w:rPr>
            </w:pPr>
            <w:r w:rsidRPr="00237CE6">
              <w:rPr>
                <w:rFonts w:asciiTheme="minorHAnsi" w:eastAsia="Calibri" w:hAnsiTheme="minorHAnsi" w:cstheme="minorHAnsi"/>
                <w:sz w:val="22"/>
                <w:szCs w:val="22"/>
              </w:rPr>
              <w:t xml:space="preserve">Application process and deadline </w:t>
            </w:r>
          </w:p>
          <w:p w14:paraId="00000042" w14:textId="77777777" w:rsidR="008B1803" w:rsidRPr="00237CE6" w:rsidRDefault="008B1803" w:rsidP="008B1803">
            <w:pPr>
              <w:shd w:val="clear" w:color="auto" w:fill="FFFFFF"/>
              <w:spacing w:after="150"/>
              <w:rPr>
                <w:rFonts w:asciiTheme="minorHAnsi" w:eastAsia="Cambria" w:hAnsiTheme="minorHAnsi" w:cstheme="minorHAnsi"/>
                <w:sz w:val="22"/>
                <w:szCs w:val="22"/>
              </w:rPr>
            </w:pPr>
            <w:r w:rsidRPr="00237CE6">
              <w:rPr>
                <w:rFonts w:asciiTheme="minorHAnsi" w:eastAsia="Cambria" w:hAnsiTheme="minorHAnsi" w:cstheme="minorHAnsi"/>
                <w:sz w:val="22"/>
                <w:szCs w:val="22"/>
              </w:rPr>
              <w:t>Interested candidates may apply online by providing: </w:t>
            </w:r>
          </w:p>
          <w:p w14:paraId="00000043" w14:textId="77777777" w:rsidR="008B1803" w:rsidRPr="00237CE6" w:rsidRDefault="008B1803" w:rsidP="008B1803">
            <w:pPr>
              <w:numPr>
                <w:ilvl w:val="0"/>
                <w:numId w:val="2"/>
              </w:numPr>
              <w:pBdr>
                <w:top w:val="nil"/>
                <w:left w:val="nil"/>
                <w:bottom w:val="nil"/>
                <w:right w:val="nil"/>
                <w:between w:val="nil"/>
              </w:pBdr>
              <w:shd w:val="clear" w:color="auto" w:fill="FFFFFF"/>
              <w:spacing w:after="150"/>
              <w:rPr>
                <w:rFonts w:asciiTheme="minorHAnsi" w:eastAsia="Cambria" w:hAnsiTheme="minorHAnsi" w:cstheme="minorHAnsi"/>
                <w:color w:val="000000"/>
                <w:sz w:val="22"/>
                <w:szCs w:val="22"/>
              </w:rPr>
            </w:pPr>
            <w:r w:rsidRPr="00237CE6">
              <w:rPr>
                <w:rFonts w:asciiTheme="minorHAnsi" w:eastAsia="Cambria" w:hAnsiTheme="minorHAnsi" w:cstheme="minorHAnsi"/>
                <w:color w:val="000000"/>
                <w:sz w:val="22"/>
                <w:szCs w:val="22"/>
              </w:rPr>
              <w:t>Most updated CV</w:t>
            </w:r>
          </w:p>
          <w:p w14:paraId="00000044" w14:textId="44F6ED14" w:rsidR="008B1803" w:rsidRPr="00237CE6" w:rsidRDefault="008B1803" w:rsidP="008B1803">
            <w:pPr>
              <w:numPr>
                <w:ilvl w:val="0"/>
                <w:numId w:val="2"/>
              </w:numPr>
              <w:pBdr>
                <w:top w:val="nil"/>
                <w:left w:val="nil"/>
                <w:bottom w:val="nil"/>
                <w:right w:val="nil"/>
                <w:between w:val="nil"/>
              </w:pBdr>
              <w:shd w:val="clear" w:color="auto" w:fill="FFFFFF"/>
              <w:spacing w:after="150"/>
              <w:rPr>
                <w:rFonts w:asciiTheme="minorHAnsi" w:eastAsia="Cambria" w:hAnsiTheme="minorHAnsi" w:cstheme="minorHAnsi"/>
                <w:color w:val="000000"/>
                <w:sz w:val="22"/>
                <w:szCs w:val="22"/>
              </w:rPr>
            </w:pPr>
            <w:r w:rsidRPr="00237CE6">
              <w:rPr>
                <w:rFonts w:asciiTheme="minorHAnsi" w:eastAsia="Cambria" w:hAnsiTheme="minorHAnsi" w:cstheme="minorHAnsi"/>
                <w:color w:val="000000"/>
                <w:sz w:val="22"/>
                <w:szCs w:val="22"/>
              </w:rPr>
              <w:lastRenderedPageBreak/>
              <w:t xml:space="preserve">Updated P11 (click </w:t>
            </w:r>
            <w:hyperlink r:id="rId7" w:history="1">
              <w:r w:rsidRPr="00237CE6">
                <w:rPr>
                  <w:rStyle w:val="Hyperlink"/>
                  <w:rFonts w:asciiTheme="minorHAnsi" w:eastAsia="Cambria" w:hAnsiTheme="minorHAnsi" w:cstheme="minorHAnsi"/>
                  <w:sz w:val="22"/>
                  <w:szCs w:val="22"/>
                </w:rPr>
                <w:t>here</w:t>
              </w:r>
            </w:hyperlink>
            <w:r w:rsidRPr="00237CE6">
              <w:rPr>
                <w:rFonts w:asciiTheme="minorHAnsi" w:eastAsia="Cambria" w:hAnsiTheme="minorHAnsi" w:cstheme="minorHAnsi"/>
                <w:color w:val="000000"/>
                <w:sz w:val="22"/>
                <w:szCs w:val="22"/>
              </w:rPr>
              <w:t>)</w:t>
            </w:r>
          </w:p>
          <w:p w14:paraId="00000045" w14:textId="77777777" w:rsidR="008B1803" w:rsidRPr="00237CE6" w:rsidRDefault="008B1803" w:rsidP="008B1803">
            <w:pPr>
              <w:numPr>
                <w:ilvl w:val="0"/>
                <w:numId w:val="2"/>
              </w:numPr>
              <w:pBdr>
                <w:top w:val="nil"/>
                <w:left w:val="nil"/>
                <w:bottom w:val="nil"/>
                <w:right w:val="nil"/>
                <w:between w:val="nil"/>
              </w:pBdr>
              <w:shd w:val="clear" w:color="auto" w:fill="FFFFFF"/>
              <w:spacing w:after="150"/>
              <w:rPr>
                <w:rFonts w:asciiTheme="minorHAnsi" w:eastAsia="Cambria" w:hAnsiTheme="minorHAnsi" w:cstheme="minorHAnsi"/>
                <w:color w:val="000000"/>
                <w:sz w:val="22"/>
                <w:szCs w:val="22"/>
              </w:rPr>
            </w:pPr>
            <w:r w:rsidRPr="00237CE6">
              <w:rPr>
                <w:rFonts w:asciiTheme="minorHAnsi" w:eastAsia="Cambria" w:hAnsiTheme="minorHAnsi" w:cstheme="minorHAnsi"/>
                <w:color w:val="000000"/>
                <w:sz w:val="22"/>
                <w:szCs w:val="22"/>
              </w:rPr>
              <w:t>Cover letter mentioning the relevance of past/current experience with the requirements of the consultancy</w:t>
            </w:r>
          </w:p>
          <w:p w14:paraId="00000046" w14:textId="77777777" w:rsidR="008B1803" w:rsidRPr="00237CE6" w:rsidRDefault="008B1803" w:rsidP="008B1803">
            <w:pPr>
              <w:numPr>
                <w:ilvl w:val="0"/>
                <w:numId w:val="2"/>
              </w:numPr>
              <w:rPr>
                <w:rFonts w:asciiTheme="minorHAnsi" w:eastAsia="Arial" w:hAnsiTheme="minorHAnsi" w:cstheme="minorHAnsi"/>
                <w:sz w:val="22"/>
                <w:szCs w:val="22"/>
                <w:highlight w:val="yellow"/>
              </w:rPr>
            </w:pPr>
            <w:r w:rsidRPr="00237CE6">
              <w:rPr>
                <w:rFonts w:asciiTheme="minorHAnsi" w:eastAsia="Arial" w:hAnsiTheme="minorHAnsi" w:cstheme="minorHAnsi"/>
                <w:sz w:val="22"/>
                <w:szCs w:val="22"/>
              </w:rPr>
              <w:t xml:space="preserve">Mention in the email subject the </w:t>
            </w:r>
            <w:r w:rsidRPr="00237CE6">
              <w:rPr>
                <w:rFonts w:asciiTheme="minorHAnsi" w:eastAsia="Arial" w:hAnsiTheme="minorHAnsi" w:cstheme="minorHAnsi"/>
                <w:sz w:val="22"/>
                <w:szCs w:val="22"/>
                <w:highlight w:val="yellow"/>
              </w:rPr>
              <w:t>post title and number</w:t>
            </w:r>
          </w:p>
          <w:p w14:paraId="00000047" w14:textId="73CEFA72" w:rsidR="008B1803" w:rsidRPr="00237CE6" w:rsidRDefault="008B1803" w:rsidP="008B1803">
            <w:pPr>
              <w:shd w:val="clear" w:color="auto" w:fill="FFFFFF"/>
              <w:spacing w:after="150"/>
              <w:ind w:left="360"/>
              <w:rPr>
                <w:rFonts w:asciiTheme="minorHAnsi" w:eastAsia="Cambria" w:hAnsiTheme="minorHAnsi" w:cstheme="minorHAnsi"/>
                <w:sz w:val="22"/>
                <w:szCs w:val="22"/>
              </w:rPr>
            </w:pPr>
            <w:r w:rsidRPr="00237CE6">
              <w:rPr>
                <w:rFonts w:asciiTheme="minorHAnsi" w:eastAsia="Cambria" w:hAnsiTheme="minorHAnsi" w:cstheme="minorHAnsi"/>
                <w:sz w:val="22"/>
                <w:szCs w:val="22"/>
              </w:rPr>
              <w:t xml:space="preserve">The above documents must be sent to </w:t>
            </w:r>
            <w:hyperlink r:id="rId8">
              <w:r w:rsidRPr="00237CE6">
                <w:rPr>
                  <w:rFonts w:asciiTheme="minorHAnsi" w:eastAsia="Cambria" w:hAnsiTheme="minorHAnsi" w:cstheme="minorHAnsi"/>
                  <w:color w:val="0563C1"/>
                  <w:sz w:val="22"/>
                  <w:szCs w:val="22"/>
                  <w:u w:val="single"/>
                </w:rPr>
                <w:t>bids_lbn@unfpa.org</w:t>
              </w:r>
            </w:hyperlink>
            <w:r w:rsidRPr="00237CE6">
              <w:rPr>
                <w:rFonts w:asciiTheme="minorHAnsi" w:eastAsia="Cambria" w:hAnsiTheme="minorHAnsi" w:cstheme="minorHAnsi"/>
                <w:sz w:val="22"/>
                <w:szCs w:val="22"/>
              </w:rPr>
              <w:t xml:space="preserve">  by no later than</w:t>
            </w:r>
            <w:r w:rsidRPr="00237CE6">
              <w:rPr>
                <w:rFonts w:asciiTheme="minorHAnsi" w:eastAsia="Cambria" w:hAnsiTheme="minorHAnsi" w:cstheme="minorHAnsi"/>
                <w:b/>
                <w:sz w:val="22"/>
                <w:szCs w:val="22"/>
              </w:rPr>
              <w:t xml:space="preserve"> March 7</w:t>
            </w:r>
            <w:r w:rsidRPr="00237CE6">
              <w:rPr>
                <w:rFonts w:asciiTheme="minorHAnsi" w:eastAsia="Cambria" w:hAnsiTheme="minorHAnsi" w:cstheme="minorHAnsi"/>
                <w:b/>
                <w:sz w:val="22"/>
                <w:szCs w:val="22"/>
                <w:vertAlign w:val="superscript"/>
              </w:rPr>
              <w:t>th</w:t>
            </w:r>
            <w:r w:rsidRPr="00237CE6">
              <w:rPr>
                <w:rFonts w:asciiTheme="minorHAnsi" w:eastAsia="Cambria" w:hAnsiTheme="minorHAnsi" w:cstheme="minorHAnsi"/>
                <w:b/>
                <w:sz w:val="22"/>
                <w:szCs w:val="22"/>
              </w:rPr>
              <w:t xml:space="preserve"> 2022</w:t>
            </w:r>
            <w:r w:rsidRPr="00237CE6">
              <w:rPr>
                <w:rFonts w:asciiTheme="minorHAnsi" w:eastAsia="Cambria" w:hAnsiTheme="minorHAnsi" w:cstheme="minorHAnsi"/>
                <w:sz w:val="22"/>
                <w:szCs w:val="22"/>
              </w:rPr>
              <w:br/>
              <w:t>Candidates who fail to submit the required documents above will not be considered for review. UNFPA Lebanon will only be responsible to respond to those applicants submitting the required documents above and in which there is further interest. ONLY individual consultants, not companies, are eligible to apply.</w:t>
            </w:r>
          </w:p>
          <w:p w14:paraId="00000048" w14:textId="77777777" w:rsidR="008B1803" w:rsidRPr="00237CE6" w:rsidRDefault="008B1803" w:rsidP="008B1803">
            <w:pPr>
              <w:shd w:val="clear" w:color="auto" w:fill="FFFFFF"/>
              <w:spacing w:after="150"/>
              <w:ind w:left="360"/>
              <w:rPr>
                <w:rFonts w:asciiTheme="minorHAnsi" w:eastAsia="Cambria" w:hAnsiTheme="minorHAnsi" w:cstheme="minorHAnsi"/>
                <w:sz w:val="22"/>
                <w:szCs w:val="22"/>
              </w:rPr>
            </w:pPr>
            <w:r w:rsidRPr="00237CE6">
              <w:rPr>
                <w:rFonts w:asciiTheme="minorHAnsi" w:eastAsia="Cambria" w:hAnsiTheme="minorHAnsi" w:cstheme="minorHAnsi"/>
                <w:sz w:val="22"/>
                <w:szCs w:val="22"/>
              </w:rPr>
              <w:t xml:space="preserve">Candidates assessed by the panel and considered to be eligible for the appointment but who are not selected for this vacant post may be offered an assignment to another position at the same/lower grade </w:t>
            </w:r>
            <w:proofErr w:type="gramStart"/>
            <w:r w:rsidRPr="00237CE6">
              <w:rPr>
                <w:rFonts w:asciiTheme="minorHAnsi" w:eastAsia="Cambria" w:hAnsiTheme="minorHAnsi" w:cstheme="minorHAnsi"/>
                <w:sz w:val="22"/>
                <w:szCs w:val="22"/>
              </w:rPr>
              <w:t>provided that</w:t>
            </w:r>
            <w:proofErr w:type="gramEnd"/>
            <w:r w:rsidRPr="00237CE6">
              <w:rPr>
                <w:rFonts w:asciiTheme="minorHAnsi" w:eastAsia="Cambria" w:hAnsiTheme="minorHAnsi" w:cstheme="minorHAnsi"/>
                <w:sz w:val="22"/>
                <w:szCs w:val="22"/>
              </w:rPr>
              <w:t xml:space="preserve"> they meet the minimum qualifications required.</w:t>
            </w:r>
          </w:p>
        </w:tc>
      </w:tr>
    </w:tbl>
    <w:p w14:paraId="0000004A" w14:textId="77777777" w:rsidR="00B1734A" w:rsidRPr="00237CE6" w:rsidRDefault="00B1734A">
      <w:pPr>
        <w:rPr>
          <w:rFonts w:asciiTheme="minorHAnsi" w:hAnsiTheme="minorHAnsi" w:cstheme="minorHAnsi"/>
          <w:sz w:val="22"/>
          <w:szCs w:val="22"/>
        </w:rPr>
      </w:pPr>
    </w:p>
    <w:sectPr w:rsidR="00B1734A" w:rsidRPr="00237CE6" w:rsidSect="006F5B86">
      <w:pgSz w:w="15840" w:h="12240" w:orient="landscape"/>
      <w:pgMar w:top="1440" w:right="81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E8A"/>
    <w:multiLevelType w:val="multilevel"/>
    <w:tmpl w:val="DB3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7172C"/>
    <w:multiLevelType w:val="hybridMultilevel"/>
    <w:tmpl w:val="5BD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805B8"/>
    <w:multiLevelType w:val="multilevel"/>
    <w:tmpl w:val="1A884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026C0"/>
    <w:multiLevelType w:val="multilevel"/>
    <w:tmpl w:val="86421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8B15F6"/>
    <w:multiLevelType w:val="multilevel"/>
    <w:tmpl w:val="415CC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F15520"/>
    <w:multiLevelType w:val="multilevel"/>
    <w:tmpl w:val="DF6A9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6B0033"/>
    <w:multiLevelType w:val="multilevel"/>
    <w:tmpl w:val="A2A07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7C42D2"/>
    <w:multiLevelType w:val="multilevel"/>
    <w:tmpl w:val="49A84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B70F58"/>
    <w:multiLevelType w:val="multilevel"/>
    <w:tmpl w:val="BDB8C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667970"/>
    <w:multiLevelType w:val="multilevel"/>
    <w:tmpl w:val="0262D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513218"/>
    <w:multiLevelType w:val="multilevel"/>
    <w:tmpl w:val="F4BA0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5"/>
  </w:num>
  <w:num w:numId="4">
    <w:abstractNumId w:val="4"/>
  </w:num>
  <w:num w:numId="5">
    <w:abstractNumId w:val="8"/>
  </w:num>
  <w:num w:numId="6">
    <w:abstractNumId w:val="2"/>
  </w:num>
  <w:num w:numId="7">
    <w:abstractNumId w:val="7"/>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4A"/>
    <w:rsid w:val="00237CE6"/>
    <w:rsid w:val="006F5B86"/>
    <w:rsid w:val="008B1803"/>
    <w:rsid w:val="00B1734A"/>
    <w:rsid w:val="00BD07C2"/>
    <w:rsid w:val="00CC5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97E3"/>
  <w15:docId w15:val="{A83A211A-AE93-43A8-AE13-E142D591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C30538"/>
    <w:pPr>
      <w:spacing w:before="100" w:beforeAutospacing="1" w:after="100" w:afterAutospacing="1"/>
      <w:outlineLvl w:val="2"/>
    </w:pPr>
    <w:rPr>
      <w:b/>
      <w:bCs/>
      <w:sz w:val="27"/>
      <w:szCs w:val="27"/>
      <w:lang w:val="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harCharCharCharCharCharChar">
    <w:name w:val="Char Char Char Char Char Char Char"/>
    <w:basedOn w:val="Normal"/>
    <w:rsid w:val="00E9474C"/>
    <w:pPr>
      <w:spacing w:before="120" w:after="160" w:line="240" w:lineRule="exact"/>
    </w:pPr>
    <w:rPr>
      <w:rFonts w:ascii="Verdana" w:hAnsi="Verdana" w:cs="Arial"/>
      <w:sz w:val="20"/>
      <w:szCs w:val="20"/>
      <w:lang w:val="en-US"/>
    </w:rPr>
  </w:style>
  <w:style w:type="paragraph" w:customStyle="1" w:styleId="Default">
    <w:name w:val="Default"/>
    <w:rsid w:val="00E9474C"/>
    <w:pPr>
      <w:autoSpaceDE w:val="0"/>
      <w:autoSpaceDN w:val="0"/>
      <w:adjustRightInd w:val="0"/>
    </w:pPr>
    <w:rPr>
      <w:rFonts w:ascii="Calibri" w:hAnsi="Calibri" w:cs="Calibri"/>
      <w:color w:val="000000"/>
    </w:rPr>
  </w:style>
  <w:style w:type="paragraph" w:customStyle="1" w:styleId="m2983691059992725013msolistparagraph">
    <w:name w:val="m_2983691059992725013msolistparagraph"/>
    <w:basedOn w:val="Normal"/>
    <w:rsid w:val="00E9474C"/>
    <w:pPr>
      <w:spacing w:before="100" w:beforeAutospacing="1" w:after="100" w:afterAutospacing="1"/>
    </w:pPr>
    <w:rPr>
      <w:rFonts w:eastAsia="Calibri"/>
      <w:lang w:val="en-US"/>
    </w:rPr>
  </w:style>
  <w:style w:type="paragraph" w:styleId="ListParagraph">
    <w:name w:val="List Paragraph"/>
    <w:aliases w:val="List Paragraph (numbered (a)),List Paragraph1,Lapis Bulleted List,Bullet List,FooterText,Colorful List Accent 1,numbered,Paragraphe de liste1,列出段落,列出段落1,Bulletr List Paragraph,List Paragraph2,List Paragraph21,Párrafo de lista1,リスト段落1,Plan"/>
    <w:basedOn w:val="Normal"/>
    <w:link w:val="ListParagraphChar"/>
    <w:uiPriority w:val="34"/>
    <w:qFormat/>
    <w:rsid w:val="00E9474C"/>
    <w:pPr>
      <w:overflowPunct w:val="0"/>
      <w:autoSpaceDE w:val="0"/>
      <w:autoSpaceDN w:val="0"/>
      <w:adjustRightInd w:val="0"/>
      <w:ind w:left="720"/>
      <w:textAlignment w:val="baseline"/>
    </w:pPr>
    <w:rPr>
      <w:sz w:val="20"/>
      <w:szCs w:val="20"/>
      <w:lang w:val="en-US"/>
    </w:rPr>
  </w:style>
  <w:style w:type="character" w:styleId="CommentReference">
    <w:name w:val="annotation reference"/>
    <w:basedOn w:val="DefaultParagraphFont"/>
    <w:unhideWhenUsed/>
    <w:rsid w:val="005C1D5E"/>
    <w:rPr>
      <w:sz w:val="16"/>
      <w:szCs w:val="16"/>
    </w:rPr>
  </w:style>
  <w:style w:type="paragraph" w:styleId="CommentText">
    <w:name w:val="annotation text"/>
    <w:basedOn w:val="Normal"/>
    <w:link w:val="CommentTextChar"/>
    <w:unhideWhenUsed/>
    <w:rsid w:val="005C1D5E"/>
    <w:rPr>
      <w:sz w:val="20"/>
      <w:szCs w:val="20"/>
    </w:rPr>
  </w:style>
  <w:style w:type="character" w:customStyle="1" w:styleId="CommentTextChar">
    <w:name w:val="Comment Text Char"/>
    <w:basedOn w:val="DefaultParagraphFont"/>
    <w:link w:val="CommentText"/>
    <w:rsid w:val="005C1D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1D5E"/>
    <w:rPr>
      <w:b/>
      <w:bCs/>
    </w:rPr>
  </w:style>
  <w:style w:type="character" w:customStyle="1" w:styleId="CommentSubjectChar">
    <w:name w:val="Comment Subject Char"/>
    <w:basedOn w:val="CommentTextChar"/>
    <w:link w:val="CommentSubject"/>
    <w:uiPriority w:val="99"/>
    <w:semiHidden/>
    <w:rsid w:val="005C1D5E"/>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30538"/>
    <w:rPr>
      <w:rFonts w:ascii="Times New Roman" w:eastAsia="Times New Roman" w:hAnsi="Times New Roman" w:cs="Times New Roman"/>
      <w:b/>
      <w:bCs/>
      <w:sz w:val="27"/>
      <w:szCs w:val="27"/>
    </w:rPr>
  </w:style>
  <w:style w:type="character" w:customStyle="1" w:styleId="ListParagraphChar">
    <w:name w:val="List Paragraph Char"/>
    <w:aliases w:val="List Paragraph (numbered (a)) Char,List Paragraph1 Char,Lapis Bulleted List Char,Bullet List Char,FooterText Char,Colorful List Accent 1 Char,numbered Char,Paragraphe de liste1 Char,列出段落 Char,列出段落1 Char,Bulletr List Paragraph Char"/>
    <w:basedOn w:val="DefaultParagraphFont"/>
    <w:link w:val="ListParagraph"/>
    <w:uiPriority w:val="34"/>
    <w:qFormat/>
    <w:locked/>
    <w:rsid w:val="00426FF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E38FB"/>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9E38FB"/>
    <w:rPr>
      <w:rFonts w:ascii="Calibri" w:hAnsi="Calibri" w:cs="Consolas"/>
      <w:szCs w:val="21"/>
    </w:rPr>
  </w:style>
  <w:style w:type="character" w:styleId="Hyperlink">
    <w:name w:val="Hyperlink"/>
    <w:basedOn w:val="DefaultParagraphFont"/>
    <w:uiPriority w:val="99"/>
    <w:unhideWhenUsed/>
    <w:rsid w:val="007C243B"/>
    <w:rPr>
      <w:color w:val="0563C1" w:themeColor="hyperlink"/>
      <w:u w:val="single"/>
    </w:rPr>
  </w:style>
  <w:style w:type="character" w:customStyle="1" w:styleId="UnresolvedMention1">
    <w:name w:val="Unresolved Mention1"/>
    <w:basedOn w:val="DefaultParagraphFont"/>
    <w:uiPriority w:val="99"/>
    <w:semiHidden/>
    <w:unhideWhenUsed/>
    <w:rsid w:val="007C243B"/>
    <w:rPr>
      <w:color w:val="605E5C"/>
      <w:shd w:val="clear" w:color="auto" w:fill="E1DFDD"/>
    </w:rPr>
  </w:style>
  <w:style w:type="paragraph" w:styleId="BalloonText">
    <w:name w:val="Balloon Text"/>
    <w:basedOn w:val="Normal"/>
    <w:link w:val="BalloonTextChar"/>
    <w:uiPriority w:val="99"/>
    <w:semiHidden/>
    <w:unhideWhenUsed/>
    <w:rsid w:val="00740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7"/>
    <w:rPr>
      <w:rFonts w:ascii="Segoe UI" w:eastAsia="Times New Roman"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77" w:type="dxa"/>
        <w:right w:w="177" w:type="dxa"/>
      </w:tblCellMar>
    </w:tblPr>
  </w:style>
  <w:style w:type="paragraph" w:styleId="NormalWeb">
    <w:name w:val="Normal (Web)"/>
    <w:basedOn w:val="Normal"/>
    <w:uiPriority w:val="99"/>
    <w:semiHidden/>
    <w:unhideWhenUsed/>
    <w:rsid w:val="008B1803"/>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23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ds_lbn@unfpa.org" TargetMode="External"/><Relationship Id="rId3" Type="http://schemas.openxmlformats.org/officeDocument/2006/relationships/numbering" Target="numbering.xml"/><Relationship Id="rId7" Type="http://schemas.openxmlformats.org/officeDocument/2006/relationships/hyperlink" Target="https://www.unfpa.org/resources/p11-un-personal-history-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IPq//KeSm1m998GeKyxI4SxCA==">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E022AA-B712-46C3-A406-1BACAFC8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Nicia ElDannawi</dc:creator>
  <cp:lastModifiedBy>Nour El Hoda wahid</cp:lastModifiedBy>
  <cp:revision>6</cp:revision>
  <dcterms:created xsi:type="dcterms:W3CDTF">2022-02-28T14:34:00Z</dcterms:created>
  <dcterms:modified xsi:type="dcterms:W3CDTF">2022-02-28T21:33:00Z</dcterms:modified>
</cp:coreProperties>
</file>